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B61DDC" w14:paraId="2B1F74E2" w14:textId="77777777">
        <w:tc>
          <w:tcPr>
            <w:tcW w:w="7792" w:type="dxa"/>
            <w:gridSpan w:val="2"/>
          </w:tcPr>
          <w:p w:rsidR="005D2AE9" w:rsidP="00F62F5B" w:rsidRDefault="513062AB" w14:paraId="4A654BF3" w14:textId="77777777">
            <w:pPr>
              <w:spacing w:after="40"/>
            </w:pPr>
            <w:bookmarkStart w:name="_GoBack" w:id="0"/>
            <w:bookmarkEnd w:id="0"/>
            <w:r w:rsidRPr="513062AB">
              <w:rPr>
                <w:sz w:val="13"/>
                <w:szCs w:val="13"/>
              </w:rPr>
              <w:t>&gt; Retouradres Postbus 20701 2500 ES Den Haag</w:t>
            </w:r>
          </w:p>
        </w:tc>
      </w:tr>
      <w:tr w:rsidR="005D2AE9" w:rsidTr="00B61DDC" w14:paraId="74C929E5" w14:textId="77777777">
        <w:tc>
          <w:tcPr>
            <w:tcW w:w="7792" w:type="dxa"/>
            <w:gridSpan w:val="2"/>
          </w:tcPr>
          <w:p w:rsidR="005D2AE9" w:rsidP="00F62F5B" w:rsidRDefault="513062AB" w14:paraId="70D3C024" w14:textId="77777777">
            <w:pPr>
              <w:tabs>
                <w:tab w:val="left" w:pos="614"/>
              </w:tabs>
              <w:spacing w:after="0"/>
            </w:pPr>
            <w:r>
              <w:t>de Voorzitter van de Tweede Kamer</w:t>
            </w:r>
          </w:p>
          <w:p w:rsidR="005D2AE9" w:rsidP="00F62F5B" w:rsidRDefault="513062AB" w14:paraId="067F0E35" w14:textId="77777777">
            <w:pPr>
              <w:tabs>
                <w:tab w:val="left" w:pos="614"/>
              </w:tabs>
              <w:spacing w:after="0"/>
            </w:pPr>
            <w:r>
              <w:t>der Staten-Generaal</w:t>
            </w:r>
          </w:p>
          <w:p w:rsidR="005D2AE9" w:rsidP="00F62F5B" w:rsidRDefault="62DB3399" w14:paraId="5350B4BC" w14:textId="77777777">
            <w:pPr>
              <w:tabs>
                <w:tab w:val="left" w:pos="614"/>
              </w:tabs>
              <w:spacing w:after="0"/>
            </w:pPr>
            <w:r>
              <w:t xml:space="preserve">Bezuidenhoutseweg 67 </w:t>
            </w:r>
          </w:p>
          <w:p w:rsidR="005D2AE9" w:rsidP="005D2AE9" w:rsidRDefault="513062AB" w14:paraId="5A3273F3" w14:textId="77777777">
            <w:pPr>
              <w:tabs>
                <w:tab w:val="left" w:pos="614"/>
              </w:tabs>
              <w:spacing w:after="240"/>
            </w:pPr>
            <w:r>
              <w:t>2594 AC Den Haag</w:t>
            </w:r>
          </w:p>
          <w:p w:rsidRPr="00093942" w:rsidR="005D2AE9" w:rsidP="48D9ECD3" w:rsidRDefault="005D2AE9" w14:paraId="77182826" w14:textId="45538C26">
            <w:pPr>
              <w:spacing w:after="240"/>
              <w:rPr>
                <w:sz w:val="13"/>
                <w:szCs w:val="13"/>
              </w:rPr>
            </w:pPr>
          </w:p>
        </w:tc>
      </w:tr>
      <w:tr w:rsidR="005D2AE9" w:rsidTr="0030482E" w14:paraId="75FE71EA" w14:textId="77777777">
        <w:trPr>
          <w:trHeight w:val="283"/>
        </w:trPr>
        <w:tc>
          <w:tcPr>
            <w:tcW w:w="1969" w:type="dxa"/>
            <w:shd w:val="clear" w:color="auto" w:fill="auto"/>
          </w:tcPr>
          <w:p w:rsidRPr="00241C04" w:rsidR="005D2AE9" w:rsidP="00F62F5B" w:rsidRDefault="513062AB" w14:paraId="64592C34" w14:textId="77777777">
            <w:pPr>
              <w:tabs>
                <w:tab w:val="left" w:pos="614"/>
              </w:tabs>
              <w:spacing w:after="0"/>
            </w:pPr>
            <w:r w:rsidRPr="00241C04">
              <w:t>Datum</w:t>
            </w:r>
          </w:p>
        </w:tc>
        <w:sdt>
          <w:sdtPr>
            <w:alias w:val="Datum daadwerkelijke verzending"/>
            <w:tag w:val="Datum daadwerkelijke verzending"/>
            <w:id w:val="1978256768"/>
            <w:placeholder>
              <w:docPart w:val="6CF56974E09D4BB1878CB3A4D93FA8BD"/>
            </w:placeholder>
            <w:date w:fullDate="2026-01-20T00:00:00Z">
              <w:dateFormat w:val="d MMMM yyyy"/>
              <w:lid w:val="nl-NL"/>
              <w:storeMappedDataAs w:val="dateTime"/>
              <w:calendar w:val="gregorian"/>
            </w:date>
          </w:sdtPr>
          <w:sdtEndPr/>
          <w:sdtContent>
            <w:tc>
              <w:tcPr>
                <w:tcW w:w="5823" w:type="dxa"/>
                <w:shd w:val="clear" w:color="auto" w:fill="auto"/>
              </w:tcPr>
              <w:p w:rsidRPr="00241C04" w:rsidR="005D2AE9" w:rsidP="0030482E" w:rsidRDefault="00CB16B6" w14:paraId="4C01A407" w14:textId="5C75CDD5">
                <w:pPr>
                  <w:keepNext/>
                  <w:spacing w:after="0"/>
                </w:pPr>
                <w:r>
                  <w:t>20 januari 2026</w:t>
                </w:r>
              </w:p>
            </w:tc>
          </w:sdtContent>
        </w:sdt>
      </w:tr>
      <w:tr w:rsidR="005D2AE9" w:rsidTr="2A82C7C0" w14:paraId="75DBA878" w14:textId="77777777">
        <w:trPr>
          <w:trHeight w:val="283"/>
        </w:trPr>
        <w:tc>
          <w:tcPr>
            <w:tcW w:w="1969" w:type="dxa"/>
          </w:tcPr>
          <w:p w:rsidR="005D2AE9" w:rsidP="00F62F5B" w:rsidRDefault="513062AB" w14:paraId="3D6501E3" w14:textId="77777777">
            <w:pPr>
              <w:tabs>
                <w:tab w:val="left" w:pos="614"/>
              </w:tabs>
              <w:spacing w:after="0"/>
            </w:pPr>
            <w:r>
              <w:t>Betreft</w:t>
            </w:r>
          </w:p>
        </w:tc>
        <w:tc>
          <w:tcPr>
            <w:tcW w:w="5823" w:type="dxa"/>
          </w:tcPr>
          <w:p w:rsidR="005D2AE9" w:rsidP="00A613FC" w:rsidRDefault="513062AB" w14:paraId="6706403F" w14:textId="1D28CBFC">
            <w:r>
              <w:t xml:space="preserve">Beantwoording </w:t>
            </w:r>
            <w:r w:rsidRPr="00FE15CC" w:rsidR="00FE15CC">
              <w:t xml:space="preserve">schriftelijke vragen over </w:t>
            </w:r>
            <w:r w:rsidRPr="00A613FC" w:rsidR="00A613FC">
              <w:t>het CPB-rapport ‘Macro-economische eff</w:t>
            </w:r>
            <w:r w:rsidR="00A613FC">
              <w:t>ecten hogere defensie-uitgaven’</w:t>
            </w:r>
            <w:r w:rsidR="00255F52">
              <w:t xml:space="preserve"> door het lid Van Lanschot (CDA)</w:t>
            </w:r>
            <w:r w:rsidRPr="00FE15CC" w:rsidR="00FE15CC">
              <w:t>.</w:t>
            </w:r>
          </w:p>
        </w:tc>
      </w:tr>
    </w:tbl>
    <w:p w:rsidRPr="005D2AE9" w:rsidR="005D2AE9" w:rsidP="005D2AE9" w:rsidRDefault="005D2AE9" w14:paraId="06DAFFE7" w14:textId="77777777">
      <w:r>
        <w:rPr>
          <w:noProof/>
          <w:lang w:eastAsia="nl-NL" w:bidi="ar-SA"/>
        </w:rPr>
        <mc:AlternateContent>
          <mc:Choice Requires="wps">
            <w:drawing>
              <wp:anchor distT="0" distB="0" distL="114300" distR="114300" simplePos="0" relativeHeight="251657216"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255F52" w:rsidP="00F62F5B" w:rsidRDefault="00255F52" w14:paraId="01CA0D44" w14:textId="77777777">
                            <w:pPr>
                              <w:pStyle w:val="ReferentiegegevenskopW1-Huisstijl"/>
                              <w:spacing w:before="360"/>
                            </w:pPr>
                            <w:r>
                              <w:t>Ministerie van Defensie</w:t>
                            </w:r>
                          </w:p>
                          <w:p w:rsidR="00255F52" w:rsidP="00F62F5B" w:rsidRDefault="00255F52" w14:paraId="3F6B8919" w14:textId="77777777">
                            <w:pPr>
                              <w:pStyle w:val="Referentiegegevens-Huisstijl"/>
                            </w:pPr>
                            <w:r>
                              <w:t>Plein 4</w:t>
                            </w:r>
                          </w:p>
                          <w:p w:rsidR="00255F52" w:rsidP="00F62F5B" w:rsidRDefault="00255F52" w14:paraId="1B77620C" w14:textId="77777777">
                            <w:pPr>
                              <w:pStyle w:val="Referentiegegevens-Huisstijl"/>
                            </w:pPr>
                            <w:r>
                              <w:t>MPC 58 B</w:t>
                            </w:r>
                          </w:p>
                          <w:p w:rsidRPr="00456E7B" w:rsidR="00255F52" w:rsidP="00F62F5B" w:rsidRDefault="00255F52" w14:paraId="4DF9284C" w14:textId="77777777">
                            <w:pPr>
                              <w:pStyle w:val="Referentiegegevens-Huisstijl"/>
                              <w:rPr>
                                <w:lang w:val="de-DE"/>
                              </w:rPr>
                            </w:pPr>
                            <w:r w:rsidRPr="00456E7B">
                              <w:rPr>
                                <w:lang w:val="de-DE"/>
                              </w:rPr>
                              <w:t>Postbus 20701</w:t>
                            </w:r>
                          </w:p>
                          <w:p w:rsidRPr="00456E7B" w:rsidR="00255F52" w:rsidP="00F62F5B" w:rsidRDefault="00255F52" w14:paraId="6A8BBF74" w14:textId="77777777">
                            <w:pPr>
                              <w:pStyle w:val="Referentiegegevens-Huisstijl"/>
                              <w:rPr>
                                <w:lang w:val="de-DE"/>
                              </w:rPr>
                            </w:pPr>
                            <w:r w:rsidRPr="00456E7B">
                              <w:rPr>
                                <w:lang w:val="de-DE"/>
                              </w:rPr>
                              <w:t>2500 ES Den Haag</w:t>
                            </w:r>
                          </w:p>
                          <w:p w:rsidRPr="00456E7B" w:rsidR="00255F52" w:rsidP="00F62F5B" w:rsidRDefault="00255F52"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255F52" w:rsidP="00F62F5B" w:rsidRDefault="00255F52" w14:paraId="482463EA" w14:textId="77777777">
                                <w:pPr>
                                  <w:pStyle w:val="ReferentiegegevenskopW1-Huisstijl"/>
                                  <w:spacing w:before="120"/>
                                </w:pPr>
                                <w:r>
                                  <w:t>Onze referentie</w:t>
                                </w:r>
                              </w:p>
                            </w:sdtContent>
                          </w:sdt>
                          <w:p w:rsidRPr="00A47DC5" w:rsidR="00255F52" w:rsidP="000353DC" w:rsidRDefault="00CB16B6" w14:paraId="3257DB47" w14:textId="2305F765">
                            <w:pPr>
                              <w:pStyle w:val="Algemenevoorwaarden-Huisstijl"/>
                              <w:rPr>
                                <w:i w:val="0"/>
                                <w:iCs/>
                              </w:rPr>
                            </w:pPr>
                            <w:r>
                              <w:rPr>
                                <w:i w:val="0"/>
                                <w:iCs/>
                              </w:rPr>
                              <w:t>MINDEF</w:t>
                            </w:r>
                            <w:r w:rsidRPr="00EE75AE" w:rsidR="00255F52">
                              <w:rPr>
                                <w:i w:val="0"/>
                                <w:iCs/>
                              </w:rPr>
                              <w:t>20250045580</w:t>
                            </w:r>
                          </w:p>
                          <w:p w:rsidR="00255F52" w:rsidP="00F62F5B" w:rsidRDefault="00255F52" w14:paraId="767E7910" w14:textId="77777777">
                            <w:pPr>
                              <w:pStyle w:val="Algemenevoorwaarden-Huisstijl"/>
                            </w:pPr>
                            <w:r>
                              <w:t>Bij beantwoording, datum, onze referentie en onderwerp vermelden.</w:t>
                            </w:r>
                          </w:p>
                          <w:p w:rsidR="00255F52" w:rsidP="008967D1" w:rsidRDefault="00255F52" w14:paraId="6CF74BF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255F52" w:rsidP="00F62F5B" w:rsidRDefault="00255F52" w14:paraId="01CA0D44" w14:textId="77777777">
                      <w:pPr>
                        <w:pStyle w:val="ReferentiegegevenskopW1-Huisstijl"/>
                        <w:spacing w:before="360"/>
                      </w:pPr>
                      <w:r>
                        <w:t>Ministerie van Defensie</w:t>
                      </w:r>
                    </w:p>
                    <w:p w:rsidR="00255F52" w:rsidP="00F62F5B" w:rsidRDefault="00255F52" w14:paraId="3F6B8919" w14:textId="77777777">
                      <w:pPr>
                        <w:pStyle w:val="Referentiegegevens-Huisstijl"/>
                      </w:pPr>
                      <w:r>
                        <w:t>Plein 4</w:t>
                      </w:r>
                    </w:p>
                    <w:p w:rsidR="00255F52" w:rsidP="00F62F5B" w:rsidRDefault="00255F52" w14:paraId="1B77620C" w14:textId="77777777">
                      <w:pPr>
                        <w:pStyle w:val="Referentiegegevens-Huisstijl"/>
                      </w:pPr>
                      <w:r>
                        <w:t>MPC 58 B</w:t>
                      </w:r>
                    </w:p>
                    <w:p w:rsidRPr="00456E7B" w:rsidR="00255F52" w:rsidP="00F62F5B" w:rsidRDefault="00255F52" w14:paraId="4DF9284C" w14:textId="77777777">
                      <w:pPr>
                        <w:pStyle w:val="Referentiegegevens-Huisstijl"/>
                        <w:rPr>
                          <w:lang w:val="de-DE"/>
                        </w:rPr>
                      </w:pPr>
                      <w:r w:rsidRPr="00456E7B">
                        <w:rPr>
                          <w:lang w:val="de-DE"/>
                        </w:rPr>
                        <w:t>Postbus 20701</w:t>
                      </w:r>
                    </w:p>
                    <w:p w:rsidRPr="00456E7B" w:rsidR="00255F52" w:rsidP="00F62F5B" w:rsidRDefault="00255F52" w14:paraId="6A8BBF74" w14:textId="77777777">
                      <w:pPr>
                        <w:pStyle w:val="Referentiegegevens-Huisstijl"/>
                        <w:rPr>
                          <w:lang w:val="de-DE"/>
                        </w:rPr>
                      </w:pPr>
                      <w:r w:rsidRPr="00456E7B">
                        <w:rPr>
                          <w:lang w:val="de-DE"/>
                        </w:rPr>
                        <w:t>2500 ES Den Haag</w:t>
                      </w:r>
                    </w:p>
                    <w:p w:rsidRPr="00456E7B" w:rsidR="00255F52" w:rsidP="00F62F5B" w:rsidRDefault="00255F52"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255F52" w:rsidP="00F62F5B" w:rsidRDefault="00255F52" w14:paraId="482463EA" w14:textId="77777777">
                          <w:pPr>
                            <w:pStyle w:val="ReferentiegegevenskopW1-Huisstijl"/>
                            <w:spacing w:before="120"/>
                          </w:pPr>
                          <w:r>
                            <w:t>Onze referentie</w:t>
                          </w:r>
                        </w:p>
                      </w:sdtContent>
                    </w:sdt>
                    <w:p w:rsidRPr="00A47DC5" w:rsidR="00255F52" w:rsidP="000353DC" w:rsidRDefault="00CB16B6" w14:paraId="3257DB47" w14:textId="2305F765">
                      <w:pPr>
                        <w:pStyle w:val="Algemenevoorwaarden-Huisstijl"/>
                        <w:rPr>
                          <w:i w:val="0"/>
                          <w:iCs/>
                        </w:rPr>
                      </w:pPr>
                      <w:r>
                        <w:rPr>
                          <w:i w:val="0"/>
                          <w:iCs/>
                        </w:rPr>
                        <w:t>MINDEF</w:t>
                      </w:r>
                      <w:r w:rsidRPr="00EE75AE" w:rsidR="00255F52">
                        <w:rPr>
                          <w:i w:val="0"/>
                          <w:iCs/>
                        </w:rPr>
                        <w:t>20250045580</w:t>
                      </w:r>
                    </w:p>
                    <w:p w:rsidR="00255F52" w:rsidP="00F62F5B" w:rsidRDefault="00255F52" w14:paraId="767E7910" w14:textId="77777777">
                      <w:pPr>
                        <w:pStyle w:val="Algemenevoorwaarden-Huisstijl"/>
                      </w:pPr>
                      <w:r>
                        <w:t>Bij beantwoording, datum, onze referentie en onderwerp vermelden.</w:t>
                      </w:r>
                    </w:p>
                    <w:p w:rsidR="00255F52" w:rsidP="008967D1" w:rsidRDefault="00255F52" w14:paraId="6CF74BF4" w14:textId="77777777">
                      <w:pPr>
                        <w:pStyle w:val="Algemenevoorwaarden-Huisstijl"/>
                      </w:pPr>
                    </w:p>
                  </w:txbxContent>
                </v:textbox>
                <w10:wrap anchorx="page" anchory="page"/>
              </v:shape>
            </w:pict>
          </mc:Fallback>
        </mc:AlternateContent>
      </w:r>
    </w:p>
    <w:p w:rsidR="008967D1" w:rsidP="00BE2D79" w:rsidRDefault="008967D1" w14:paraId="6629B444" w14:textId="77777777">
      <w:pPr>
        <w:spacing w:after="240"/>
      </w:pPr>
    </w:p>
    <w:p w:rsidR="004B0E47" w:rsidP="00BE2D79" w:rsidRDefault="513062AB" w14:paraId="68F592CE" w14:textId="77777777">
      <w:pPr>
        <w:spacing w:after="240"/>
      </w:pPr>
      <w:r>
        <w:t>Geachte voorzitter,</w:t>
      </w:r>
    </w:p>
    <w:p w:rsidR="00881E10" w:rsidP="007729A4" w:rsidRDefault="513062AB" w14:paraId="300DDD93" w14:textId="427D46D1">
      <w:r>
        <w:t>Hierbij bied</w:t>
      </w:r>
      <w:r w:rsidR="00A613FC">
        <w:t>en wij</w:t>
      </w:r>
      <w:r>
        <w:t xml:space="preserve"> u de antwoorden aan </w:t>
      </w:r>
      <w:r w:rsidR="00917282">
        <w:t xml:space="preserve">op de </w:t>
      </w:r>
      <w:r w:rsidR="00FE15CC">
        <w:t>schriftelijke</w:t>
      </w:r>
      <w:r w:rsidR="00917282">
        <w:t xml:space="preserve"> vragen </w:t>
      </w:r>
      <w:r w:rsidRPr="00FE15CC" w:rsidR="00FE15CC">
        <w:t>over de economische impact van extra defensie-uitgaven volgens het Centraal Planbureau (CPB)</w:t>
      </w:r>
      <w:r>
        <w:t>.</w:t>
      </w:r>
    </w:p>
    <w:p w:rsidRPr="00881E10" w:rsidR="00BE2D79" w:rsidP="00E26D15" w:rsidRDefault="513062AB" w14:paraId="1EFA2A18" w14:textId="77777777">
      <w:pPr>
        <w:keepNext/>
        <w:spacing w:before="600" w:after="0"/>
      </w:pPr>
      <w:r>
        <w:t>Hoogachtend,</w:t>
      </w:r>
    </w:p>
    <w:p w:rsidR="00CC6BF3" w:rsidP="00B32365" w:rsidRDefault="00CC6BF3" w14:paraId="5BEC5831" w14:textId="20BA3324">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2A82C7C0" w14:paraId="59DF6B79" w14:textId="77777777">
        <w:tc>
          <w:tcPr>
            <w:tcW w:w="4962" w:type="dxa"/>
          </w:tcPr>
          <w:p w:rsidRPr="00B61DDC" w:rsidR="00A42B10" w:rsidP="2A82C7C0" w:rsidRDefault="513062AB" w14:paraId="15004404" w14:textId="77777777">
            <w:pPr>
              <w:keepNext/>
              <w:spacing w:before="600" w:after="0"/>
              <w:rPr>
                <w:i/>
                <w:iCs/>
                <w:color w:val="000000" w:themeColor="text1"/>
              </w:rPr>
            </w:pPr>
            <w:r w:rsidRPr="2A82C7C0">
              <w:rPr>
                <w:i/>
                <w:iCs/>
                <w:color w:val="000000" w:themeColor="text1"/>
              </w:rPr>
              <w:t>DE MINISTER VAN DEFENSIE</w:t>
            </w:r>
          </w:p>
          <w:p w:rsidRPr="00A42B10" w:rsidR="00A42B10" w:rsidP="513062AB" w:rsidRDefault="513062AB" w14:paraId="463E1CBA" w14:textId="77777777">
            <w:pPr>
              <w:spacing w:before="960" w:after="0"/>
              <w:rPr>
                <w:color w:val="000000" w:themeColor="text1"/>
              </w:rPr>
            </w:pPr>
            <w:r w:rsidRPr="513062AB">
              <w:rPr>
                <w:color w:val="000000" w:themeColor="text1"/>
              </w:rPr>
              <w:t>Ruben Brekelmans</w:t>
            </w:r>
          </w:p>
        </w:tc>
        <w:tc>
          <w:tcPr>
            <w:tcW w:w="4211" w:type="dxa"/>
          </w:tcPr>
          <w:p w:rsidRPr="00B61DDC" w:rsidR="00A42B10" w:rsidP="2A82C7C0" w:rsidRDefault="513062AB" w14:paraId="57E0EC27" w14:textId="77777777">
            <w:pPr>
              <w:spacing w:before="600" w:after="0"/>
              <w:rPr>
                <w:i/>
                <w:iCs/>
                <w:color w:val="000000" w:themeColor="text1"/>
              </w:rPr>
            </w:pPr>
            <w:r w:rsidRPr="2A82C7C0">
              <w:rPr>
                <w:i/>
                <w:iCs/>
                <w:color w:val="000000" w:themeColor="text1"/>
              </w:rPr>
              <w:t>DE STAATSSECRETARIS VAN DEFENSIE</w:t>
            </w:r>
          </w:p>
          <w:p w:rsidRPr="00A42B10" w:rsidR="00A42B10" w:rsidP="513062AB" w:rsidRDefault="513062AB" w14:paraId="6AD0732D" w14:textId="77777777">
            <w:pPr>
              <w:spacing w:before="960"/>
              <w:rPr>
                <w:color w:val="000000" w:themeColor="text1"/>
              </w:rPr>
            </w:pPr>
            <w:r w:rsidRPr="513062AB">
              <w:rPr>
                <w:color w:val="000000" w:themeColor="text1"/>
              </w:rPr>
              <w:t>Gijs Tuinman</w:t>
            </w:r>
          </w:p>
        </w:tc>
      </w:tr>
    </w:tbl>
    <w:p w:rsidR="00A613FC" w:rsidP="00A613FC" w:rsidRDefault="00A613FC" w14:paraId="7997110E" w14:textId="77777777">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613FC" w:rsidTr="00255F52" w14:paraId="5BCC37FF" w14:textId="77777777">
        <w:tc>
          <w:tcPr>
            <w:tcW w:w="4962" w:type="dxa"/>
          </w:tcPr>
          <w:p w:rsidRPr="00B61DDC" w:rsidR="00A613FC" w:rsidP="00255F52" w:rsidRDefault="00A613FC" w14:paraId="3376314F" w14:textId="175C54CF">
            <w:pPr>
              <w:keepNext/>
              <w:spacing w:before="600" w:after="0"/>
              <w:rPr>
                <w:i/>
                <w:iCs/>
                <w:color w:val="000000" w:themeColor="text1"/>
              </w:rPr>
            </w:pPr>
            <w:r w:rsidRPr="2A82C7C0">
              <w:rPr>
                <w:i/>
                <w:iCs/>
                <w:color w:val="000000" w:themeColor="text1"/>
              </w:rPr>
              <w:t xml:space="preserve">DE MINISTER VAN </w:t>
            </w:r>
            <w:r>
              <w:rPr>
                <w:i/>
                <w:iCs/>
                <w:color w:val="000000" w:themeColor="text1"/>
              </w:rPr>
              <w:t>ECONOMISCHE ZAKEN</w:t>
            </w:r>
          </w:p>
          <w:p w:rsidRPr="00A42B10" w:rsidR="00A613FC" w:rsidP="00255F52" w:rsidRDefault="00A613FC" w14:paraId="584E7AD7" w14:textId="438ED07E">
            <w:pPr>
              <w:spacing w:before="960" w:after="0"/>
              <w:rPr>
                <w:color w:val="000000" w:themeColor="text1"/>
              </w:rPr>
            </w:pPr>
            <w:r>
              <w:rPr>
                <w:color w:val="000000" w:themeColor="text1"/>
              </w:rPr>
              <w:t>Vincent Karremans</w:t>
            </w:r>
          </w:p>
        </w:tc>
        <w:tc>
          <w:tcPr>
            <w:tcW w:w="4211" w:type="dxa"/>
          </w:tcPr>
          <w:p w:rsidRPr="00A42B10" w:rsidR="00A613FC" w:rsidP="00255F52" w:rsidRDefault="00A613FC" w14:paraId="78331C29" w14:textId="76FDE3B9">
            <w:pPr>
              <w:spacing w:before="960"/>
              <w:rPr>
                <w:color w:val="000000" w:themeColor="text1"/>
              </w:rPr>
            </w:pPr>
          </w:p>
        </w:tc>
      </w:tr>
    </w:tbl>
    <w:p w:rsidR="00456E7B" w:rsidP="00CC6BF3" w:rsidRDefault="00456E7B" w14:paraId="6B2AF0F9" w14:textId="77777777">
      <w:pPr>
        <w:keepNext/>
        <w:spacing w:before="600" w:after="0"/>
        <w:rPr>
          <w:i/>
          <w:iCs/>
          <w:color w:val="000000" w:themeColor="text1"/>
        </w:rPr>
      </w:pPr>
    </w:p>
    <w:p w:rsidRPr="001A179A" w:rsidR="001412EC" w:rsidP="00C4379D" w:rsidRDefault="00456E7B" w14:paraId="12A1363F" w14:textId="77777777">
      <w:pPr>
        <w:keepNext/>
        <w:spacing w:before="600" w:after="0"/>
      </w:pPr>
      <w:r>
        <w:rPr>
          <w:i/>
          <w:iCs/>
          <w:color w:val="000000" w:themeColor="text1"/>
        </w:rPr>
        <w:br w:type="column"/>
      </w:r>
    </w:p>
    <w:tbl>
      <w:tblPr>
        <w:tblW w:w="9497" w:type="dxa"/>
        <w:tblLayout w:type="fixed"/>
        <w:tblCellMar>
          <w:left w:w="0" w:type="dxa"/>
          <w:right w:w="0" w:type="dxa"/>
        </w:tblCellMar>
        <w:tblLook w:val="0000" w:firstRow="0" w:lastRow="0" w:firstColumn="0" w:lastColumn="0" w:noHBand="0" w:noVBand="0"/>
      </w:tblPr>
      <w:tblGrid>
        <w:gridCol w:w="284"/>
        <w:gridCol w:w="9213"/>
      </w:tblGrid>
      <w:tr w:rsidRPr="00583E90" w:rsidR="001412EC" w:rsidTr="00174B2F" w14:paraId="109A4B74" w14:textId="77777777">
        <w:tc>
          <w:tcPr>
            <w:tcW w:w="284" w:type="dxa"/>
          </w:tcPr>
          <w:p w:rsidRPr="00583E90" w:rsidR="001412EC" w:rsidP="006E1636" w:rsidRDefault="001412EC" w14:paraId="4DAABE8A" w14:textId="77777777">
            <w:pPr>
              <w:rPr>
                <w:b/>
                <w:bCs/>
              </w:rPr>
            </w:pPr>
            <w:r w:rsidRPr="3F030C92">
              <w:rPr>
                <w:b/>
                <w:bCs/>
              </w:rPr>
              <w:t>1</w:t>
            </w:r>
          </w:p>
        </w:tc>
        <w:tc>
          <w:tcPr>
            <w:tcW w:w="9213" w:type="dxa"/>
          </w:tcPr>
          <w:p w:rsidR="001412EC" w:rsidP="006E1636" w:rsidRDefault="00A613FC" w14:paraId="3EC1B878" w14:textId="2DD82974">
            <w:pPr>
              <w:rPr>
                <w:highlight w:val="yellow"/>
              </w:rPr>
            </w:pPr>
            <w:r w:rsidRPr="00A613FC">
              <w:rPr>
                <w:b/>
                <w:bCs/>
              </w:rPr>
              <w:t>Onderschrijft u de stelling van het CPB dat op een termijn van 1-4 jaar ‘de hogere defensie-uitgaven volledig ten koste gaan van andere economische activiteiten en geen extra toename van het bbp bewerkstelligen.</w:t>
            </w:r>
            <w:r>
              <w:rPr>
                <w:b/>
                <w:bCs/>
              </w:rPr>
              <w:t>’</w:t>
            </w:r>
            <w:r w:rsidR="00701334">
              <w:rPr>
                <w:b/>
                <w:bCs/>
              </w:rPr>
              <w:t>?</w:t>
            </w:r>
            <w:r w:rsidRPr="00701334" w:rsidR="00701334">
              <w:rPr>
                <w:b/>
                <w:bCs/>
                <w:highlight w:val="yellow"/>
              </w:rPr>
              <w:t xml:space="preserve"> </w:t>
            </w:r>
          </w:p>
          <w:p w:rsidR="008C1272" w:rsidP="00A613FC" w:rsidRDefault="00A613FC" w14:paraId="507A7EBE" w14:textId="627F54EA">
            <w:pPr>
              <w:spacing w:before="240"/>
            </w:pPr>
            <w:r>
              <w:t xml:space="preserve">Investeren in Defensie is in eerste instantie een investering in de veiligheid van Nederland en Europa. Veiligheid is een cruciale voorwaarde voor het goed functioneren van een economie. De baten van veiligheid zijn echter niet altijd makkelijk uit te drukken in economische waarden. </w:t>
            </w:r>
          </w:p>
          <w:p w:rsidRPr="008C1272" w:rsidR="008C1272" w:rsidP="008C1272" w:rsidRDefault="008C1272" w14:paraId="6721B8C0" w14:textId="262983D5">
            <w:pPr>
              <w:spacing w:before="240"/>
            </w:pPr>
            <w:r w:rsidRPr="008C1272">
              <w:t xml:space="preserve">Het kabinet onderschrijft niet de stelling dat hogere defensie-uitgaven </w:t>
            </w:r>
            <w:r w:rsidRPr="00174B2F">
              <w:t>volledig</w:t>
            </w:r>
            <w:r w:rsidRPr="008C1272">
              <w:t xml:space="preserve"> ten koste gaan van andere economische activiteiten. Tegelijkertijd erkent het kabinet </w:t>
            </w:r>
            <w:r>
              <w:t>wel</w:t>
            </w:r>
            <w:r w:rsidRPr="008C1272">
              <w:t xml:space="preserve"> de door het CPB geschetste beperkingen voor extra economische groei op de korte termijn (1–4 jaar) in de Nederlandse context. Deze beperkingen hangen samen met structurele knelpunten, zoals de krapte op de arbeidsmarkt, ruimtelijke beperkingen en het risico op verdringing van bestaande economische activiteiten. Het CPB wijst er bovendien op dat de macro-economische effecten mede afhangen van de wijze van financiering (schulden, ombuigingen of belastingen), waarover besluitvorming aan een volgend kabinet is.</w:t>
            </w:r>
          </w:p>
          <w:p w:rsidR="00320021" w:rsidP="00174B2F" w:rsidRDefault="004B5348" w14:paraId="17E90DF9" w14:textId="50C13109">
            <w:pPr>
              <w:spacing w:before="240"/>
            </w:pPr>
            <w:r w:rsidRPr="004B5348">
              <w:t>Defensie zet momenteel stappen op verschillende punten die het CPB benoemt. Met de</w:t>
            </w:r>
            <w:r w:rsidR="00860E2E">
              <w:t xml:space="preserve"> </w:t>
            </w:r>
            <w:r w:rsidRPr="00860E2E" w:rsidR="00860E2E">
              <w:t>Defensie Strategie voor Industrie en Innovatie</w:t>
            </w:r>
            <w:r w:rsidRPr="004B5348">
              <w:t xml:space="preserve"> </w:t>
            </w:r>
            <w:r w:rsidR="00860E2E">
              <w:t>(</w:t>
            </w:r>
            <w:r w:rsidRPr="004B5348">
              <w:t>D-SII</w:t>
            </w:r>
            <w:r w:rsidR="00860E2E">
              <w:t>)</w:t>
            </w:r>
            <w:r w:rsidRPr="004B5348">
              <w:t xml:space="preserve"> 2025–2029</w:t>
            </w:r>
            <w:r w:rsidR="00860E2E">
              <w:rPr>
                <w:rStyle w:val="Voetnootmarkering"/>
              </w:rPr>
              <w:footnoteReference w:id="2"/>
            </w:r>
            <w:r w:rsidRPr="004B5348">
              <w:t xml:space="preserve"> wordt ingezet op industrieversterkend inkopen in Nederland en Europa en op de gerichte opschaling van deze industrieën. Daarnaast kunnen defensie-investeringen bijdragen aan regionale economische activiteit, bijvoorbeeld rond defensielocaties en innovatieve ecosystemen. Het CPB geeft aan dat dergelijke investeringen kunnen leiden tot positieve economische spill-overeffecten, onder meer voor lokale ondernemers. Tegen deze achtergrond is de Nederlandse defensie-industrie tussen 2022 en 2023 gegroeid van circa € 5,7 mld</w:t>
            </w:r>
            <w:r w:rsidR="00174B2F">
              <w:t>.</w:t>
            </w:r>
            <w:r w:rsidRPr="004B5348">
              <w:t xml:space="preserve"> naar € 7,7 mld.</w:t>
            </w:r>
          </w:p>
          <w:p w:rsidRPr="00583E90" w:rsidR="001412EC" w:rsidP="00174B2F" w:rsidRDefault="007F0C01" w14:paraId="7704DCDF" w14:textId="50FD13AF">
            <w:pPr>
              <w:spacing w:before="240"/>
            </w:pPr>
            <w:r w:rsidRPr="00D352CA">
              <w:t>Daarbij merkt het kabinet op dat een belangrijk deel van de economische effecten van defensie-investeringen zich vooral op de middellange en lange termijn zal voordoen</w:t>
            </w:r>
            <w:r>
              <w:t>.</w:t>
            </w:r>
            <w:r w:rsidRPr="008C1272">
              <w:t xml:space="preserve"> </w:t>
            </w:r>
            <w:r w:rsidRPr="00A1104A">
              <w:rPr>
                <w:color w:val="000000" w:themeColor="text1"/>
              </w:rPr>
              <w:t xml:space="preserve">Positieve economische effecten ontstaan vooral wanneer deze inzet </w:t>
            </w:r>
            <w:r>
              <w:rPr>
                <w:color w:val="000000" w:themeColor="text1"/>
              </w:rPr>
              <w:t>gepaard gaat</w:t>
            </w:r>
            <w:r w:rsidRPr="00A1104A">
              <w:rPr>
                <w:color w:val="000000" w:themeColor="text1"/>
              </w:rPr>
              <w:t xml:space="preserve"> met</w:t>
            </w:r>
            <w:r>
              <w:rPr>
                <w:color w:val="000000" w:themeColor="text1"/>
              </w:rPr>
              <w:t xml:space="preserve"> gerichte</w:t>
            </w:r>
            <w:r w:rsidRPr="00A1104A">
              <w:rPr>
                <w:color w:val="000000" w:themeColor="text1"/>
              </w:rPr>
              <w:t xml:space="preserve"> investeringen in R&amp;D, </w:t>
            </w:r>
            <w:r>
              <w:rPr>
                <w:color w:val="000000" w:themeColor="text1"/>
              </w:rPr>
              <w:t xml:space="preserve">het realiseren van schaalvoordelen en </w:t>
            </w:r>
            <w:r w:rsidRPr="00A1104A">
              <w:rPr>
                <w:color w:val="000000" w:themeColor="text1"/>
              </w:rPr>
              <w:t>het benutten van</w:t>
            </w:r>
            <w:r>
              <w:rPr>
                <w:color w:val="000000" w:themeColor="text1"/>
              </w:rPr>
              <w:t xml:space="preserve"> Nederlandse</w:t>
            </w:r>
            <w:r w:rsidRPr="00A1104A">
              <w:rPr>
                <w:color w:val="000000" w:themeColor="text1"/>
              </w:rPr>
              <w:t xml:space="preserve"> comparatieve voordelen, zoals uitgewerkt in</w:t>
            </w:r>
            <w:r>
              <w:rPr>
                <w:color w:val="000000" w:themeColor="text1"/>
              </w:rPr>
              <w:t xml:space="preserve"> de beantwoording van</w:t>
            </w:r>
            <w:r w:rsidRPr="00A1104A">
              <w:rPr>
                <w:color w:val="000000" w:themeColor="text1"/>
              </w:rPr>
              <w:t xml:space="preserve"> </w:t>
            </w:r>
            <w:r>
              <w:rPr>
                <w:color w:val="000000" w:themeColor="text1"/>
              </w:rPr>
              <w:t xml:space="preserve">vraag 4. </w:t>
            </w:r>
          </w:p>
        </w:tc>
      </w:tr>
      <w:tr w:rsidRPr="00583E90" w:rsidR="001412EC" w:rsidTr="00174B2F" w14:paraId="6A67EA2D" w14:textId="77777777">
        <w:tc>
          <w:tcPr>
            <w:tcW w:w="284" w:type="dxa"/>
          </w:tcPr>
          <w:p w:rsidRPr="00583E90" w:rsidR="001412EC" w:rsidP="006E1636" w:rsidRDefault="001412EC" w14:paraId="0A4D5F1C" w14:textId="77777777">
            <w:pPr>
              <w:rPr>
                <w:b/>
                <w:bCs/>
              </w:rPr>
            </w:pPr>
            <w:r w:rsidRPr="3F030C92">
              <w:rPr>
                <w:b/>
                <w:bCs/>
              </w:rPr>
              <w:t>2</w:t>
            </w:r>
          </w:p>
        </w:tc>
        <w:tc>
          <w:tcPr>
            <w:tcW w:w="9213" w:type="dxa"/>
          </w:tcPr>
          <w:p w:rsidRPr="00583E90" w:rsidR="001412EC" w:rsidP="006E1636" w:rsidRDefault="00A613FC" w14:paraId="554670F7" w14:textId="5CB8F4FE">
            <w:pPr>
              <w:rPr>
                <w:b/>
                <w:bCs/>
              </w:rPr>
            </w:pPr>
            <w:r w:rsidRPr="00A613FC">
              <w:rPr>
                <w:b/>
                <w:bCs/>
              </w:rPr>
              <w:t>Kunt u, indien dat niet het geval is, aangeven waar u verschillen ziet? Bijvoorbeeld ten aanzien van de onderliggende methodologie (literatuuronderzoek), de gebruikte data of de daaruit volgende conclusie</w:t>
            </w:r>
            <w:r>
              <w:rPr>
                <w:b/>
                <w:bCs/>
              </w:rPr>
              <w:t>.</w:t>
            </w:r>
          </w:p>
          <w:p w:rsidR="001412EC" w:rsidP="006E1636" w:rsidRDefault="001412EC" w14:paraId="0A688BA0" w14:textId="77777777">
            <w:pPr>
              <w:rPr>
                <w:highlight w:val="yellow"/>
              </w:rPr>
            </w:pPr>
          </w:p>
          <w:p w:rsidRPr="00583E90" w:rsidR="001412EC" w:rsidP="00701334" w:rsidRDefault="00A613FC" w14:paraId="67C12F12" w14:textId="5DF7326E">
            <w:r w:rsidRPr="00A613FC">
              <w:t>Zie het antwoord op vraag 1</w:t>
            </w:r>
            <w:r w:rsidR="00701334">
              <w:t>.</w:t>
            </w:r>
          </w:p>
          <w:p w:rsidRPr="00583E90" w:rsidR="001412EC" w:rsidP="006E1636" w:rsidRDefault="001412EC" w14:paraId="7937BD59" w14:textId="77777777">
            <w:pPr>
              <w:rPr>
                <w:highlight w:val="yellow"/>
              </w:rPr>
            </w:pPr>
          </w:p>
        </w:tc>
      </w:tr>
      <w:tr w:rsidRPr="00583E90" w:rsidR="001412EC" w:rsidTr="00174B2F" w14:paraId="0879E66C" w14:textId="77777777">
        <w:tc>
          <w:tcPr>
            <w:tcW w:w="284" w:type="dxa"/>
          </w:tcPr>
          <w:p w:rsidRPr="00583E90" w:rsidR="001412EC" w:rsidP="006E1636" w:rsidRDefault="001412EC" w14:paraId="2F8FC173" w14:textId="77777777">
            <w:pPr>
              <w:rPr>
                <w:b/>
                <w:bCs/>
              </w:rPr>
            </w:pPr>
            <w:r w:rsidRPr="3F030C92">
              <w:rPr>
                <w:b/>
                <w:bCs/>
              </w:rPr>
              <w:t>3</w:t>
            </w:r>
          </w:p>
        </w:tc>
        <w:tc>
          <w:tcPr>
            <w:tcW w:w="9213" w:type="dxa"/>
          </w:tcPr>
          <w:p w:rsidRPr="00583E90" w:rsidR="001412EC" w:rsidP="006E1636" w:rsidRDefault="00A613FC" w14:paraId="38FD3158" w14:textId="32E22247">
            <w:pPr>
              <w:rPr>
                <w:b/>
                <w:bCs/>
              </w:rPr>
            </w:pPr>
            <w:r w:rsidRPr="00A613FC">
              <w:rPr>
                <w:b/>
                <w:bCs/>
              </w:rPr>
              <w:t>Deelt u de mening dat we een ‘once in a generation’ kans hebben om toe te groeien naar de afgesproken NAVO-norm van 3,5% én tegelijkertijd onze Nederlandse en Europese (defensie-industrie) te versterken</w:t>
            </w:r>
            <w:r w:rsidRPr="3F030C92" w:rsidR="001412EC">
              <w:rPr>
                <w:b/>
                <w:bCs/>
              </w:rPr>
              <w:t>?</w:t>
            </w:r>
          </w:p>
          <w:p w:rsidRPr="00583E90" w:rsidR="001412EC" w:rsidP="006E1636" w:rsidRDefault="001412EC" w14:paraId="0A34E8CA" w14:textId="08FBC1DB">
            <w:r>
              <w:br/>
            </w:r>
            <w:r w:rsidRPr="00A613FC" w:rsidR="00A613FC">
              <w:t xml:space="preserve">Wij delen de opvatting dat de huidige situatie een bijzondere gelegenheid biedt om zowel de NAVO-norm van 3,5% defensie-uitgaven te realiseren als de Nederlandse en Europese defensie-industrie te versterken. Het is een kans om op een strategische manier te investeren in nationale veiligheid, noodzakelijke capaciteiten en technologische vernieuwing. Defensie en EZ werken samen met de </w:t>
            </w:r>
            <w:r w:rsidR="00595879">
              <w:lastRenderedPageBreak/>
              <w:t xml:space="preserve">Nederlandse </w:t>
            </w:r>
            <w:r w:rsidRPr="00A613FC" w:rsidR="00A613FC">
              <w:t>industrie en onze NAVO-bondgenoten aan het benutten van de kansen voor de industrie</w:t>
            </w:r>
            <w:r w:rsidRPr="14B13070">
              <w:t>.</w:t>
            </w:r>
          </w:p>
          <w:p w:rsidRPr="00583E90" w:rsidR="001412EC" w:rsidP="006E1636" w:rsidRDefault="001412EC" w14:paraId="2AD3553E" w14:textId="77777777">
            <w:pPr>
              <w:rPr>
                <w:highlight w:val="yellow"/>
              </w:rPr>
            </w:pPr>
          </w:p>
        </w:tc>
      </w:tr>
      <w:tr w:rsidRPr="00583E90" w:rsidR="001412EC" w:rsidTr="00174B2F" w14:paraId="6736886D" w14:textId="77777777">
        <w:tc>
          <w:tcPr>
            <w:tcW w:w="284" w:type="dxa"/>
          </w:tcPr>
          <w:p w:rsidRPr="00583E90" w:rsidR="001412EC" w:rsidP="006E1636" w:rsidRDefault="001412EC" w14:paraId="478967DE" w14:textId="77777777">
            <w:pPr>
              <w:rPr>
                <w:b/>
                <w:bCs/>
              </w:rPr>
            </w:pPr>
            <w:r w:rsidRPr="3F030C92">
              <w:rPr>
                <w:b/>
                <w:bCs/>
              </w:rPr>
              <w:lastRenderedPageBreak/>
              <w:t>4</w:t>
            </w:r>
          </w:p>
        </w:tc>
        <w:tc>
          <w:tcPr>
            <w:tcW w:w="9213" w:type="dxa"/>
          </w:tcPr>
          <w:p w:rsidRPr="00583E90" w:rsidR="001412EC" w:rsidP="006E1636" w:rsidRDefault="00A613FC" w14:paraId="7D62970C" w14:textId="0D5D5BE1">
            <w:pPr>
              <w:rPr>
                <w:b/>
                <w:bCs/>
              </w:rPr>
            </w:pPr>
            <w:r w:rsidRPr="00A613FC">
              <w:rPr>
                <w:b/>
                <w:bCs/>
              </w:rPr>
              <w:t>Kunt u een overzicht geven van de knoppen waaraan uw ministeries op de korte (1-4 jaar) en langere termijn (5-15 jaar) kunnen draaien om de ‘defensie-multiplier’ te verhogen</w:t>
            </w:r>
            <w:r w:rsidRPr="3F030C92" w:rsidR="001412EC">
              <w:rPr>
                <w:b/>
                <w:bCs/>
              </w:rPr>
              <w:t>?</w:t>
            </w:r>
          </w:p>
          <w:p w:rsidR="001412EC" w:rsidP="006E1636" w:rsidRDefault="001412EC" w14:paraId="4A499AAC" w14:textId="77777777">
            <w:pPr>
              <w:rPr>
                <w:color w:val="000000" w:themeColor="text1"/>
                <w:highlight w:val="yellow"/>
              </w:rPr>
            </w:pPr>
          </w:p>
          <w:p w:rsidRPr="00A613FC" w:rsidR="00A613FC" w:rsidP="00A613FC" w:rsidRDefault="00A613FC" w14:paraId="14C3C0B0" w14:textId="42547DE4">
            <w:pPr>
              <w:rPr>
                <w:color w:val="000000" w:themeColor="text1"/>
              </w:rPr>
            </w:pPr>
            <w:r w:rsidRPr="00A613FC">
              <w:rPr>
                <w:color w:val="000000" w:themeColor="text1"/>
              </w:rPr>
              <w:t>Er zijn verschillende knoppen die</w:t>
            </w:r>
            <w:r w:rsidR="004B5348">
              <w:rPr>
                <w:color w:val="000000" w:themeColor="text1"/>
              </w:rPr>
              <w:t xml:space="preserve"> </w:t>
            </w:r>
            <w:r w:rsidRPr="00A613FC">
              <w:rPr>
                <w:color w:val="000000" w:themeColor="text1"/>
              </w:rPr>
              <w:t>benut (kunnen) worden om de economische effecten van Defensie-uitgaven</w:t>
            </w:r>
            <w:r w:rsidR="004B5348">
              <w:rPr>
                <w:color w:val="000000" w:themeColor="text1"/>
              </w:rPr>
              <w:t xml:space="preserve"> op de (midden)lange termijn</w:t>
            </w:r>
            <w:r w:rsidRPr="00A613FC">
              <w:rPr>
                <w:color w:val="000000" w:themeColor="text1"/>
              </w:rPr>
              <w:t xml:space="preserve"> zo gunstig mogelijk te maken:</w:t>
            </w:r>
          </w:p>
          <w:p w:rsidR="00A613FC" w:rsidP="00255F52" w:rsidRDefault="00A613FC" w14:paraId="34C3D31D" w14:textId="1E3023F8">
            <w:pPr>
              <w:rPr>
                <w:color w:val="000000" w:themeColor="text1"/>
              </w:rPr>
            </w:pPr>
            <w:r w:rsidRPr="00A613FC">
              <w:rPr>
                <w:color w:val="000000" w:themeColor="text1"/>
              </w:rPr>
              <w:t>1.</w:t>
            </w:r>
            <w:r w:rsidRPr="00A613FC">
              <w:rPr>
                <w:color w:val="000000" w:themeColor="text1"/>
              </w:rPr>
              <w:tab/>
              <w:t>Meer</w:t>
            </w:r>
            <w:r w:rsidR="007953A1">
              <w:rPr>
                <w:color w:val="000000" w:themeColor="text1"/>
              </w:rPr>
              <w:t xml:space="preserve"> (innovatieve)</w:t>
            </w:r>
            <w:r w:rsidRPr="00A613FC">
              <w:rPr>
                <w:color w:val="000000" w:themeColor="text1"/>
              </w:rPr>
              <w:t xml:space="preserve"> productie binnen Nederland en Europa: Met de D-SII zet Defensie in op industrieversterkend inkopen in Nederland en Europa en de opschaling van deze industrieën. Het ‘weglek-effect’ dat ontstaat als de defensie-uitgaven door import uit het buitenland terechtkomen kan daarmee worden beperkt. Wanneer Defensie importeert wordt ingezet op Industriële Participatie, wat inhoudt dat EZ en Defensie met buitenlandse leveranciers afspreken dat de Nederlandse industrie bij orders wordt betrokken.</w:t>
            </w:r>
            <w:r w:rsidR="00612A13">
              <w:rPr>
                <w:color w:val="000000" w:themeColor="text1"/>
              </w:rPr>
              <w:t xml:space="preserve"> Voorbeelden van belangrijke projecten zijn de langlopende betrokkenheid van Nederlandse bedrijven bij het F-35 programma en recent deelname van de industrie aan de productie van de nieuwe onderzeeboten met een waarde van ruim € 1 miljard.</w:t>
            </w:r>
            <w:r w:rsidR="00612A13">
              <w:rPr>
                <w:rStyle w:val="Voetnootmarkering"/>
                <w:color w:val="000000" w:themeColor="text1"/>
              </w:rPr>
              <w:footnoteReference w:id="3"/>
            </w:r>
            <w:r w:rsidRPr="00A613FC">
              <w:rPr>
                <w:color w:val="000000" w:themeColor="text1"/>
              </w:rPr>
              <w:t xml:space="preserve"> </w:t>
            </w:r>
            <w:r w:rsidR="00595879">
              <w:rPr>
                <w:color w:val="000000" w:themeColor="text1"/>
              </w:rPr>
              <w:t xml:space="preserve">Defensie zet bij de inkoop meer in op single-source inkoop, door toepassing van WVEU 346, </w:t>
            </w:r>
            <w:r w:rsidR="003312F3">
              <w:rPr>
                <w:color w:val="000000" w:themeColor="text1"/>
              </w:rPr>
              <w:t xml:space="preserve">wat het mogelijk maakt gericht te sturen op de herkomst van producten. Daardoor kan snel en gericht in Nederland worden ingekocht. </w:t>
            </w:r>
            <w:r w:rsidR="00255F52">
              <w:rPr>
                <w:color w:val="000000" w:themeColor="text1"/>
              </w:rPr>
              <w:t>We kopen vaker dezelfde producten</w:t>
            </w:r>
            <w:r w:rsidRPr="00255F52" w:rsidR="00255F52">
              <w:rPr>
                <w:color w:val="000000" w:themeColor="text1"/>
              </w:rPr>
              <w:t xml:space="preserve"> als onze bondgenoten. Wat goed is voor hen,</w:t>
            </w:r>
            <w:r w:rsidR="00255F52">
              <w:rPr>
                <w:color w:val="000000" w:themeColor="text1"/>
              </w:rPr>
              <w:t xml:space="preserve"> </w:t>
            </w:r>
            <w:r w:rsidRPr="00255F52" w:rsidR="00255F52">
              <w:rPr>
                <w:color w:val="000000" w:themeColor="text1"/>
              </w:rPr>
              <w:t>is ook goed voor ons (en andersom).</w:t>
            </w:r>
            <w:r w:rsidR="00255F52">
              <w:rPr>
                <w:color w:val="000000" w:themeColor="text1"/>
              </w:rPr>
              <w:t xml:space="preserve"> </w:t>
            </w:r>
            <w:r w:rsidR="003312F3">
              <w:rPr>
                <w:color w:val="000000" w:themeColor="text1"/>
              </w:rPr>
              <w:t>Met een Government-to-Government office en actieve business development werkt Defensie ook actief aan het aansporen van export door de Nederlandse industrie.</w:t>
            </w:r>
          </w:p>
          <w:p w:rsidRPr="00A613FC" w:rsidR="00A613FC" w:rsidP="00A613FC" w:rsidRDefault="00A613FC" w14:paraId="5786DBB2" w14:textId="43E2E289">
            <w:pPr>
              <w:rPr>
                <w:color w:val="000000" w:themeColor="text1"/>
              </w:rPr>
            </w:pPr>
            <w:r w:rsidRPr="00A613FC">
              <w:rPr>
                <w:color w:val="000000" w:themeColor="text1"/>
              </w:rPr>
              <w:t>2.</w:t>
            </w:r>
            <w:r w:rsidRPr="00A613FC">
              <w:rPr>
                <w:color w:val="000000" w:themeColor="text1"/>
              </w:rPr>
              <w:tab/>
              <w:t>Meer inzet op R&amp;D, met name voor dual-use toepassingen en fundamenteel onderzoek: Er bestaat bewijs dat met name uitgaven aan R&amp;D positieve economische effecten kunnen hebben</w:t>
            </w:r>
            <w:r>
              <w:rPr>
                <w:rStyle w:val="Voetnootmarkering"/>
                <w:color w:val="000000" w:themeColor="text1"/>
              </w:rPr>
              <w:footnoteReference w:id="4"/>
            </w:r>
            <w:r w:rsidRPr="00A613FC">
              <w:rPr>
                <w:color w:val="000000" w:themeColor="text1"/>
              </w:rPr>
              <w:t xml:space="preserve"> , vooral wanneer deze gericht zijn op fundamenteel onderzoek of technologie met bredere maatschappelijke (dual-use) toepassingen. Met de D-SII committeert Defensie zich eraan om te investeren in R&amp;D via de 5</w:t>
            </w:r>
            <w:r w:rsidR="00860E2E">
              <w:rPr>
                <w:color w:val="000000" w:themeColor="text1"/>
              </w:rPr>
              <w:t xml:space="preserve"> focusgebieden</w:t>
            </w:r>
            <w:r w:rsidR="005E3E76">
              <w:rPr>
                <w:color w:val="000000" w:themeColor="text1"/>
              </w:rPr>
              <w:t xml:space="preserve"> (de</w:t>
            </w:r>
            <w:r w:rsidR="0026302F">
              <w:rPr>
                <w:color w:val="000000" w:themeColor="text1"/>
              </w:rPr>
              <w:t xml:space="preserve"> zogeheten</w:t>
            </w:r>
            <w:r w:rsidR="005E3E76">
              <w:rPr>
                <w:color w:val="000000" w:themeColor="text1"/>
              </w:rPr>
              <w:t xml:space="preserve"> </w:t>
            </w:r>
            <w:r w:rsidRPr="00A613FC">
              <w:rPr>
                <w:color w:val="000000" w:themeColor="text1"/>
              </w:rPr>
              <w:t>NLD</w:t>
            </w:r>
            <w:r w:rsidR="005E3E76">
              <w:rPr>
                <w:color w:val="000000" w:themeColor="text1"/>
              </w:rPr>
              <w:t>-</w:t>
            </w:r>
            <w:r w:rsidRPr="00A613FC">
              <w:rPr>
                <w:color w:val="000000" w:themeColor="text1"/>
              </w:rPr>
              <w:t>gebieden</w:t>
            </w:r>
            <w:r w:rsidR="005E3E76">
              <w:rPr>
                <w:color w:val="000000" w:themeColor="text1"/>
              </w:rPr>
              <w:t>)</w:t>
            </w:r>
            <w:r w:rsidRPr="00A613FC">
              <w:rPr>
                <w:color w:val="000000" w:themeColor="text1"/>
              </w:rPr>
              <w:t xml:space="preserve">: quantum, slimme materialen, intelligente systemen, ruimtevaarttechnologie, sensoren. De groei van defensie-uitgaven in deze gebieden kan een sterke bijdrage leveren aan de Nederlandse (kennis)economie. </w:t>
            </w:r>
            <w:r w:rsidR="00595879">
              <w:rPr>
                <w:color w:val="000000" w:themeColor="text1"/>
              </w:rPr>
              <w:t xml:space="preserve">Deze wordt verder versterkt door het opzetten van regionale ecosystemen gericht op de NLD-gebieden. </w:t>
            </w:r>
            <w:r w:rsidRPr="00A613FC">
              <w:rPr>
                <w:color w:val="000000" w:themeColor="text1"/>
              </w:rPr>
              <w:t>Ook wordt R&amp;D verder versterkt door het ondersteunen van dual-use start-ups vanuit het Secfund en de Thematische Technology Transfer-regeling. Ten slotte, geeft Nederland stabiel 1,3% van de Defensie-begroting uit aan Research &amp; Technology (R&amp;T).</w:t>
            </w:r>
            <w:r w:rsidR="00E64570">
              <w:rPr>
                <w:color w:val="000000" w:themeColor="text1"/>
              </w:rPr>
              <w:t xml:space="preserve"> Ook als onderdeel van materieelprojecten worden investeringen in innovatie gedaan.</w:t>
            </w:r>
            <w:r w:rsidR="00612A13">
              <w:rPr>
                <w:color w:val="000000" w:themeColor="text1"/>
              </w:rPr>
              <w:t xml:space="preserve"> Met bijvoorbeeld de C-UAS challenge daagt Defensie bedrijven actief uit om met oplossingen te komen voor nieuwe uitdagingen.</w:t>
            </w:r>
          </w:p>
          <w:p w:rsidRPr="00A613FC" w:rsidR="00A613FC" w:rsidP="00A613FC" w:rsidRDefault="00A613FC" w14:paraId="6BA72589" w14:textId="70C52B8A">
            <w:pPr>
              <w:rPr>
                <w:color w:val="000000" w:themeColor="text1"/>
              </w:rPr>
            </w:pPr>
            <w:r w:rsidRPr="00A613FC">
              <w:rPr>
                <w:color w:val="000000" w:themeColor="text1"/>
              </w:rPr>
              <w:t>3.</w:t>
            </w:r>
            <w:r w:rsidRPr="00A613FC">
              <w:rPr>
                <w:color w:val="000000" w:themeColor="text1"/>
              </w:rPr>
              <w:tab/>
              <w:t xml:space="preserve">Schaalvoordelen realiseren: Door grotere aantallen materieel aan te schaffen, kunnen bedrijven middels learning-by-doing, grote productieseries en grotere afnamezekerheid de kosten per geproduceerde eenheid materieel drukken. Nederland zet in op vraagbundeling en gezamenlijke inkopen met bondgenoten op basis van de capaciteitsbehoefte. Concreet heeft Defensie dit jaar een government-2-government office ingericht dat zich specifiek richt op kansen voor gezamenlijke (internationale) aanschaf. Bovendien zet het kabinet in op EU defensieprogramma’s die internationale samenwerking en gezamenlijke ontwikkeling en aanschaf bevorderen zoals, het Europees Defensie-Industrie Programma (EDIP) en het Europees Investeringsfonds (EIF). De Industrial Reinforcement Actions (IRA) en op Common Procurement Actions (CPA) bieden nadrukkelijk kansen voor Nederland. Het uitgangspunt voor de gezamenlijke ontwikkeling van </w:t>
            </w:r>
            <w:r w:rsidRPr="00A613FC">
              <w:rPr>
                <w:color w:val="000000" w:themeColor="text1"/>
              </w:rPr>
              <w:lastRenderedPageBreak/>
              <w:t>militaire vermogens (capabilities) in EU-verband zijn negen prioritaire capaciteitsgebieden (PCA’s)</w:t>
            </w:r>
            <w:r w:rsidR="002F4A71">
              <w:rPr>
                <w:color w:val="000000" w:themeColor="text1"/>
              </w:rPr>
              <w:t>.</w:t>
            </w:r>
            <w:r w:rsidRPr="00A613FC">
              <w:rPr>
                <w:color w:val="000000" w:themeColor="text1"/>
              </w:rPr>
              <w:t xml:space="preserve"> </w:t>
            </w:r>
            <w:r w:rsidR="000866A3">
              <w:rPr>
                <w:color w:val="000000" w:themeColor="text1"/>
              </w:rPr>
              <w:t>O</w:t>
            </w:r>
            <w:r w:rsidRPr="00A613FC">
              <w:rPr>
                <w:color w:val="000000" w:themeColor="text1"/>
              </w:rPr>
              <w:t>p de drones en counter-drones PCA pakt Nederland een voortrekkersrol.</w:t>
            </w:r>
          </w:p>
          <w:p w:rsidRPr="00A613FC" w:rsidR="00A613FC" w:rsidP="00A613FC" w:rsidRDefault="00A613FC" w14:paraId="0657EBDD" w14:textId="77777777">
            <w:pPr>
              <w:rPr>
                <w:color w:val="000000" w:themeColor="text1"/>
              </w:rPr>
            </w:pPr>
            <w:r w:rsidRPr="00A613FC">
              <w:rPr>
                <w:color w:val="000000" w:themeColor="text1"/>
              </w:rPr>
              <w:t>4.</w:t>
            </w:r>
            <w:r w:rsidRPr="00A613FC">
              <w:rPr>
                <w:color w:val="000000" w:themeColor="text1"/>
              </w:rPr>
              <w:tab/>
              <w:t>Aansluiten op comparatieve voordelen: Hogere economische baten worden bereikt door in te zetten op de zaken waar Nederland goed in presteert. De Nederlandse kenniseconomie, gedreven door bedrijven en onderwijs- en kennisinstellingen van hoge kwaliteit, stellen Nederland in staat zeer effectief te zijn bij de ontwikkeling en productie van hoogwaardige technologie. Het kabinet speelt hierop in met de 5 NLD-gebieden en de maritieme maakindustrie, die allen aansluiten bij bestaande ecosystemen.</w:t>
            </w:r>
          </w:p>
          <w:p w:rsidR="001412EC" w:rsidP="00A613FC" w:rsidRDefault="00A613FC" w14:paraId="2E63BB6F" w14:textId="2DE5059F">
            <w:pPr>
              <w:rPr>
                <w:color w:val="000000" w:themeColor="text1"/>
              </w:rPr>
            </w:pPr>
            <w:r w:rsidRPr="00A613FC">
              <w:rPr>
                <w:color w:val="000000" w:themeColor="text1"/>
              </w:rPr>
              <w:t>Tot slot geldt dat het oplossen van algemene knelpunten in de Nederlandse economie eraan bijdragen dat</w:t>
            </w:r>
            <w:r w:rsidR="004B5348">
              <w:rPr>
                <w:color w:val="000000" w:themeColor="text1"/>
              </w:rPr>
              <w:t xml:space="preserve"> de bovenstaande knoppen</w:t>
            </w:r>
            <w:r w:rsidRPr="00A613FC">
              <w:rPr>
                <w:color w:val="000000" w:themeColor="text1"/>
              </w:rPr>
              <w:t xml:space="preserve"> </w:t>
            </w:r>
            <w:r w:rsidR="004B5348">
              <w:rPr>
                <w:color w:val="000000" w:themeColor="text1"/>
              </w:rPr>
              <w:t>tot</w:t>
            </w:r>
            <w:r w:rsidRPr="00A613FC">
              <w:rPr>
                <w:color w:val="000000" w:themeColor="text1"/>
              </w:rPr>
              <w:t xml:space="preserve"> minder verdringing van andere economische activiteiten plaatsvindt wanneer uitgaven aan defensie worden verhoogd.</w:t>
            </w:r>
          </w:p>
          <w:p w:rsidRPr="001412EC" w:rsidR="006E1636" w:rsidP="006E1636" w:rsidRDefault="006E1636" w14:paraId="4782279D" w14:textId="66322FE1">
            <w:pPr>
              <w:rPr>
                <w:color w:val="FF0000"/>
              </w:rPr>
            </w:pPr>
          </w:p>
        </w:tc>
      </w:tr>
      <w:tr w:rsidRPr="00583E90" w:rsidR="001412EC" w:rsidTr="00174B2F" w14:paraId="6973EDAE" w14:textId="77777777">
        <w:tc>
          <w:tcPr>
            <w:tcW w:w="284" w:type="dxa"/>
          </w:tcPr>
          <w:p w:rsidRPr="00583E90" w:rsidR="001412EC" w:rsidP="006E1636" w:rsidRDefault="001412EC" w14:paraId="321CA7FF" w14:textId="77777777">
            <w:pPr>
              <w:rPr>
                <w:b/>
                <w:bCs/>
              </w:rPr>
            </w:pPr>
            <w:r w:rsidRPr="3F030C92">
              <w:rPr>
                <w:b/>
                <w:bCs/>
              </w:rPr>
              <w:lastRenderedPageBreak/>
              <w:t>5</w:t>
            </w:r>
          </w:p>
        </w:tc>
        <w:tc>
          <w:tcPr>
            <w:tcW w:w="9213" w:type="dxa"/>
          </w:tcPr>
          <w:p w:rsidRPr="00583E90" w:rsidR="001412EC" w:rsidP="006E1636" w:rsidRDefault="00A613FC" w14:paraId="113CED9A" w14:textId="2E65DA7C">
            <w:pPr>
              <w:rPr>
                <w:b/>
                <w:bCs/>
              </w:rPr>
            </w:pPr>
            <w:r w:rsidRPr="00A613FC">
              <w:rPr>
                <w:b/>
                <w:bCs/>
              </w:rPr>
              <w:t>Kunt u aangeven welke van deze knoppen u als meest kansrijk ziet? Kunt u een inschatting geven op hoofdlijnen aan de hand van de variabelen moeite (inclusief kosten) en impact</w:t>
            </w:r>
            <w:r w:rsidRPr="3F030C92" w:rsidR="001412EC">
              <w:rPr>
                <w:b/>
                <w:bCs/>
              </w:rPr>
              <w:t>?</w:t>
            </w:r>
            <w:r w:rsidR="001412EC">
              <w:br/>
            </w:r>
            <w:r w:rsidR="001412EC">
              <w:br/>
            </w:r>
            <w:r w:rsidRPr="00A613FC">
              <w:t>Met de D-SII 2025-2029 heeft het kabinet reeds een belangrijke stap gezet om zowel de nationale en internationale veiligheid te garanderen als de economische baten te verhogen. Dit wordt gedaan door gecombineerde inzet op de beschreven knoppen. Dit draagt bij aan een sterke Nederlandse Krijgsmacht die een technologische voorsprong heeft op potentiële tegenstanders en toegang behoudt tot hoogwaardig, betaalbaar materieel waarbij leveringszekerheid noodzakelijk is. Ook zal de Economische beleidsanalyse (EBA) defensie-industrie in de tweede helft van 2026 een advies uitbrengen dat hier rekenschap van zal geven</w:t>
            </w:r>
            <w:r w:rsidRPr="3F030C92" w:rsidR="001412EC">
              <w:t>.</w:t>
            </w:r>
            <w:r w:rsidR="001412EC">
              <w:br/>
            </w:r>
          </w:p>
        </w:tc>
      </w:tr>
      <w:tr w:rsidRPr="00583E90" w:rsidR="001412EC" w:rsidTr="00174B2F" w14:paraId="3D8C719A" w14:textId="77777777">
        <w:tc>
          <w:tcPr>
            <w:tcW w:w="284" w:type="dxa"/>
          </w:tcPr>
          <w:p w:rsidRPr="00583E90" w:rsidR="001412EC" w:rsidP="006E1636" w:rsidRDefault="001412EC" w14:paraId="1F722A05" w14:textId="77777777">
            <w:pPr>
              <w:rPr>
                <w:b/>
                <w:bCs/>
              </w:rPr>
            </w:pPr>
            <w:r w:rsidRPr="3F030C92">
              <w:rPr>
                <w:b/>
                <w:bCs/>
              </w:rPr>
              <w:t>6</w:t>
            </w:r>
          </w:p>
        </w:tc>
        <w:tc>
          <w:tcPr>
            <w:tcW w:w="9213" w:type="dxa"/>
          </w:tcPr>
          <w:p w:rsidRPr="00583E90" w:rsidR="001412EC" w:rsidP="00A613FC" w:rsidRDefault="00A613FC" w14:paraId="79C2B451" w14:textId="3D2B1520">
            <w:pPr>
              <w:rPr>
                <w:b/>
                <w:bCs/>
              </w:rPr>
            </w:pPr>
            <w:r w:rsidRPr="00A613FC">
              <w:rPr>
                <w:b/>
                <w:bCs/>
              </w:rPr>
              <w:t>Kunt u aangeven welke initiatieven er vanuit uw ministeries ten aanzien van deze knoppen lopen</w:t>
            </w:r>
            <w:r w:rsidRPr="3F030C92" w:rsidR="001412EC">
              <w:rPr>
                <w:b/>
                <w:bCs/>
              </w:rPr>
              <w:t>?</w:t>
            </w:r>
            <w:r w:rsidR="001412EC">
              <w:br/>
            </w:r>
            <w:r w:rsidR="001412EC">
              <w:br/>
            </w:r>
            <w:r w:rsidRPr="00A613FC">
              <w:t>Zie beantwoording vraag 4</w:t>
            </w:r>
            <w:r>
              <w:t>.</w:t>
            </w:r>
            <w:r w:rsidR="001412EC">
              <w:br/>
            </w:r>
          </w:p>
        </w:tc>
      </w:tr>
    </w:tbl>
    <w:p w:rsidRPr="001A179A" w:rsidR="00A42B10" w:rsidP="00CC6BF3" w:rsidRDefault="00A42B10" w14:paraId="066CC39C" w14:textId="77777777">
      <w:pPr>
        <w:keepNext/>
        <w:spacing w:before="600" w:after="0"/>
        <w:rPr>
          <w:iCs/>
          <w:color w:val="000000" w:themeColor="text1"/>
        </w:rPr>
      </w:pPr>
    </w:p>
    <w:sectPr w:rsidRPr="001A179A" w:rsidR="00A42B10" w:rsidSect="00B32365">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BB23C" w14:textId="77777777" w:rsidR="00C72D1E" w:rsidRDefault="00C72D1E" w:rsidP="001E0A0C">
      <w:r>
        <w:separator/>
      </w:r>
    </w:p>
  </w:endnote>
  <w:endnote w:type="continuationSeparator" w:id="0">
    <w:p w14:paraId="3E3FB56C" w14:textId="77777777" w:rsidR="00C72D1E" w:rsidRDefault="00C72D1E" w:rsidP="001E0A0C">
      <w:r>
        <w:continuationSeparator/>
      </w:r>
    </w:p>
  </w:endnote>
  <w:endnote w:type="continuationNotice" w:id="1">
    <w:p w14:paraId="3883C1F8" w14:textId="77777777" w:rsidR="00C72D1E" w:rsidRDefault="00C72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80E85" w14:textId="78848DA1" w:rsidR="00255F52" w:rsidRDefault="00255F52">
    <w:pPr>
      <w:pStyle w:val="Voettekst"/>
    </w:pPr>
    <w:r>
      <w:rPr>
        <w:noProof/>
        <w:lang w:eastAsia="nl-NL" w:bidi="ar-SA"/>
      </w:rPr>
      <mc:AlternateContent>
        <mc:Choice Requires="wps">
          <w:drawing>
            <wp:anchor distT="0" distB="0" distL="0" distR="0" simplePos="0" relativeHeight="251660293" behindDoc="0" locked="0" layoutInCell="1" allowOverlap="1" wp14:anchorId="103A4BC2" wp14:editId="1EB62E38">
              <wp:simplePos x="635" y="635"/>
              <wp:positionH relativeFrom="page">
                <wp:align>left</wp:align>
              </wp:positionH>
              <wp:positionV relativeFrom="page">
                <wp:align>bottom</wp:align>
              </wp:positionV>
              <wp:extent cx="1007110" cy="345440"/>
              <wp:effectExtent l="0" t="0" r="2540" b="0"/>
              <wp:wrapNone/>
              <wp:docPr id="2081750167"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07110" cy="345440"/>
                      </a:xfrm>
                      <a:prstGeom prst="rect">
                        <a:avLst/>
                      </a:prstGeom>
                      <a:noFill/>
                      <a:ln>
                        <a:noFill/>
                      </a:ln>
                    </wps:spPr>
                    <wps:txbx>
                      <w:txbxContent>
                        <w:p w14:paraId="7F1A683B" w14:textId="331D94C6" w:rsidR="00255F52" w:rsidRPr="005416FE" w:rsidRDefault="00255F52" w:rsidP="005416FE">
                          <w:pPr>
                            <w:spacing w:after="0"/>
                            <w:rPr>
                              <w:rFonts w:ascii="Aptos" w:eastAsia="Aptos" w:hAnsi="Aptos" w:cs="Aptos"/>
                              <w:noProof/>
                              <w:color w:val="000000"/>
                              <w:sz w:val="20"/>
                              <w:szCs w:val="20"/>
                            </w:rPr>
                          </w:pPr>
                          <w:r w:rsidRPr="005416FE">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3A4BC2" id="_x0000_t202" coordsize="21600,21600" o:spt="202" path="m,l,21600r21600,l21600,xe">
              <v:stroke joinstyle="miter"/>
              <v:path gradientshapeok="t" o:connecttype="rect"/>
            </v:shapetype>
            <v:shape id="Tekstvak 2" o:spid="_x0000_s1028" type="#_x0000_t202" alt="Intern gebruik" style="position:absolute;margin-left:0;margin-top:0;width:79.3pt;height:27.2pt;z-index:25166029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" filled="f" stroked="f">
              <v:textbox style="mso-fit-shape-to-text:t" inset="20pt,0,0,15pt">
                <w:txbxContent>
                  <w:p w14:paraId="7F1A683B" w14:textId="331D94C6" w:rsidR="005416FE" w:rsidRPr="005416FE" w:rsidRDefault="005416FE" w:rsidP="005416FE">
                    <w:pPr>
                      <w:spacing w:after="0"/>
                      <w:rPr>
                        <w:rFonts w:ascii="Aptos" w:eastAsia="Aptos" w:hAnsi="Aptos" w:cs="Aptos"/>
                        <w:noProof/>
                        <w:color w:val="000000"/>
                        <w:sz w:val="20"/>
                        <w:szCs w:val="20"/>
                      </w:rPr>
                    </w:pPr>
                    <w:r w:rsidRPr="005416FE">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D4CE" w14:textId="0A91919E" w:rsidR="00255F52" w:rsidRDefault="00255F52"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0D8C0D6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55F52" w14:paraId="68B1D985" w14:textId="77777777">
                            <w:trPr>
                              <w:trHeight w:val="1274"/>
                            </w:trPr>
                            <w:tc>
                              <w:tcPr>
                                <w:tcW w:w="1968" w:type="dxa"/>
                                <w:tcMar>
                                  <w:left w:w="0" w:type="dxa"/>
                                  <w:right w:w="0" w:type="dxa"/>
                                </w:tcMar>
                                <w:vAlign w:val="bottom"/>
                              </w:tcPr>
                              <w:p w14:paraId="7C023691" w14:textId="77777777" w:rsidR="00255F52" w:rsidRDefault="00255F52">
                                <w:pPr>
                                  <w:pStyle w:val="Rubricering-Huisstijl"/>
                                </w:pPr>
                              </w:p>
                              <w:p w14:paraId="7BF45D72" w14:textId="77777777" w:rsidR="00255F52" w:rsidRDefault="00255F52">
                                <w:pPr>
                                  <w:pStyle w:val="Rubricering-Huisstijl"/>
                                </w:pPr>
                              </w:p>
                            </w:tc>
                          </w:tr>
                        </w:tbl>
                        <w:p w14:paraId="09F2ADF1" w14:textId="77777777" w:rsidR="00255F52" w:rsidRDefault="00255F52">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9"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55F52" w14:paraId="68B1D985" w14:textId="77777777">
                      <w:trPr>
                        <w:trHeight w:val="1274"/>
                      </w:trPr>
                      <w:tc>
                        <w:tcPr>
                          <w:tcW w:w="1968" w:type="dxa"/>
                          <w:tcMar>
                            <w:left w:w="0" w:type="dxa"/>
                            <w:right w:w="0" w:type="dxa"/>
                          </w:tcMar>
                          <w:vAlign w:val="bottom"/>
                        </w:tcPr>
                        <w:p w14:paraId="7C023691" w14:textId="77777777" w:rsidR="00255F52" w:rsidRDefault="00255F52">
                          <w:pPr>
                            <w:pStyle w:val="Rubricering-Huisstijl"/>
                          </w:pPr>
                        </w:p>
                        <w:p w14:paraId="7BF45D72" w14:textId="77777777" w:rsidR="00255F52" w:rsidRDefault="00255F52">
                          <w:pPr>
                            <w:pStyle w:val="Rubricering-Huisstijl"/>
                          </w:pPr>
                        </w:p>
                      </w:tc>
                    </w:tr>
                  </w:tbl>
                  <w:p w14:paraId="09F2ADF1" w14:textId="77777777" w:rsidR="00255F52" w:rsidRDefault="00255F52">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22D78" w14:textId="77777777" w:rsidR="00712EE0" w:rsidRDefault="00712E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DDA43" w14:textId="77777777" w:rsidR="00C72D1E" w:rsidRDefault="00C72D1E" w:rsidP="001E0A0C">
      <w:r>
        <w:separator/>
      </w:r>
    </w:p>
  </w:footnote>
  <w:footnote w:type="continuationSeparator" w:id="0">
    <w:p w14:paraId="5BF785A8" w14:textId="77777777" w:rsidR="00C72D1E" w:rsidRDefault="00C72D1E" w:rsidP="001E0A0C">
      <w:r>
        <w:continuationSeparator/>
      </w:r>
    </w:p>
  </w:footnote>
  <w:footnote w:type="continuationNotice" w:id="1">
    <w:p w14:paraId="49EF3D3F" w14:textId="77777777" w:rsidR="00C72D1E" w:rsidRDefault="00C72D1E">
      <w:pPr>
        <w:spacing w:after="0" w:line="240" w:lineRule="auto"/>
      </w:pPr>
    </w:p>
  </w:footnote>
  <w:footnote w:id="2">
    <w:p w14:paraId="3E7803FE" w14:textId="77777777" w:rsidR="00255F52" w:rsidRDefault="00255F52" w:rsidP="00860E2E">
      <w:pPr>
        <w:pStyle w:val="Voetnoottekst"/>
      </w:pPr>
      <w:r>
        <w:rPr>
          <w:rStyle w:val="Voetnootmarkering"/>
        </w:rPr>
        <w:footnoteRef/>
      </w:r>
      <w:r>
        <w:t xml:space="preserve"> </w:t>
      </w:r>
      <w:r w:rsidRPr="00987195">
        <w:rPr>
          <w:sz w:val="16"/>
          <w:szCs w:val="14"/>
        </w:rPr>
        <w:t xml:space="preserve">Zie </w:t>
      </w:r>
      <w:hyperlink r:id="rId1" w:history="1">
        <w:r w:rsidRPr="00987195">
          <w:rPr>
            <w:rStyle w:val="Hyperlink"/>
            <w:sz w:val="16"/>
            <w:szCs w:val="14"/>
          </w:rPr>
          <w:t>Aanbiedingsbrief Defensie Strategie voor Industrie en Innovatie 2025-2029 | Kamerstuk | Rijksoverheid.nl</w:t>
        </w:r>
      </w:hyperlink>
    </w:p>
  </w:footnote>
  <w:footnote w:id="3">
    <w:p w14:paraId="37E0A14F" w14:textId="581A2E0D" w:rsidR="00612A13" w:rsidRPr="00712EE0" w:rsidRDefault="00612A13">
      <w:pPr>
        <w:pStyle w:val="Voetnoottekst"/>
        <w:rPr>
          <w:sz w:val="16"/>
          <w:szCs w:val="16"/>
        </w:rPr>
      </w:pPr>
      <w:r w:rsidRPr="0030482E">
        <w:rPr>
          <w:rStyle w:val="Voetnootmarkering"/>
          <w:sz w:val="16"/>
          <w:szCs w:val="16"/>
        </w:rPr>
        <w:footnoteRef/>
      </w:r>
      <w:r w:rsidRPr="0030482E">
        <w:rPr>
          <w:sz w:val="16"/>
          <w:szCs w:val="16"/>
        </w:rPr>
        <w:t xml:space="preserve"> https://www.rijksoverheid.nl/actueel/nieuws/2024/09/10/deelname-nederlandse-industrie-aan-nieuwe-onderzeeboten-getekend</w:t>
      </w:r>
    </w:p>
  </w:footnote>
  <w:footnote w:id="4">
    <w:p w14:paraId="4E9DE79E" w14:textId="57B40968" w:rsidR="00255F52" w:rsidRPr="0063013E" w:rsidRDefault="00255F52">
      <w:pPr>
        <w:pStyle w:val="Voetnoottekst"/>
      </w:pPr>
      <w:r w:rsidRPr="0030482E">
        <w:rPr>
          <w:rStyle w:val="Voetnootmarkering"/>
          <w:sz w:val="16"/>
          <w:szCs w:val="16"/>
        </w:rPr>
        <w:footnoteRef/>
      </w:r>
      <w:r w:rsidRPr="0030482E">
        <w:rPr>
          <w:sz w:val="16"/>
          <w:szCs w:val="16"/>
        </w:rPr>
        <w:t xml:space="preserve"> Zie bijvoorbeeld het literatuuroverzicht in Guns and Growth: The Economic Consequences of Defense Buildups (IFW Kiel,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CD84A" w14:textId="77777777" w:rsidR="00712EE0" w:rsidRDefault="00712E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029C" w14:textId="77777777" w:rsidR="00255F52" w:rsidRDefault="00255F52"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A0E2C26" w14:textId="522F5B16" w:rsidR="00255F52" w:rsidRDefault="00255F52">
                          <w:pPr>
                            <w:pStyle w:val="Paginanummer-Huisstijl"/>
                          </w:pPr>
                          <w:r>
                            <w:t xml:space="preserve">Pagina </w:t>
                          </w:r>
                          <w:r>
                            <w:fldChar w:fldCharType="begin"/>
                          </w:r>
                          <w:r>
                            <w:instrText xml:space="preserve"> PAGE    \* MERGEFORMAT </w:instrText>
                          </w:r>
                          <w:r>
                            <w:fldChar w:fldCharType="separate"/>
                          </w:r>
                          <w:r w:rsidR="00190A00">
                            <w:rPr>
                              <w:noProof/>
                            </w:rPr>
                            <w:t>2</w:t>
                          </w:r>
                          <w:r>
                            <w:fldChar w:fldCharType="end"/>
                          </w:r>
                          <w:r>
                            <w:t xml:space="preserve"> van </w:t>
                          </w:r>
                          <w:fldSimple w:instr=" SECTIONPAGES  \* Arabic  \* MERGEFORMAT ">
                            <w:r w:rsidR="00190A00">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A0E2C26" w14:textId="522F5B16" w:rsidR="00255F52" w:rsidRDefault="00255F52">
                    <w:pPr>
                      <w:pStyle w:val="Paginanummer-Huisstijl"/>
                    </w:pPr>
                    <w:r>
                      <w:t xml:space="preserve">Pagina </w:t>
                    </w:r>
                    <w:r>
                      <w:fldChar w:fldCharType="begin"/>
                    </w:r>
                    <w:r>
                      <w:instrText xml:space="preserve"> PAGE    \* MERGEFORMAT </w:instrText>
                    </w:r>
                    <w:r>
                      <w:fldChar w:fldCharType="separate"/>
                    </w:r>
                    <w:r w:rsidR="00190A00">
                      <w:rPr>
                        <w:noProof/>
                      </w:rPr>
                      <w:t>2</w:t>
                    </w:r>
                    <w:r>
                      <w:fldChar w:fldCharType="end"/>
                    </w:r>
                    <w:r>
                      <w:t xml:space="preserve"> van </w:t>
                    </w:r>
                    <w:fldSimple w:instr=" SECTIONPAGES  \* Arabic  \* MERGEFORMAT ">
                      <w:r w:rsidR="00190A00">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20CA" w14:textId="05AE64BB" w:rsidR="00255F52" w:rsidRDefault="00255F52" w:rsidP="48D9ECD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513062AB">
      <w:rPr>
        <w:noProof/>
      </w:rPr>
      <w:fldChar w:fldCharType="begin"/>
    </w:r>
    <w:r w:rsidRPr="513062AB">
      <w:rPr>
        <w:noProof/>
      </w:rPr>
      <w:instrText xml:space="preserve"> PAGE    \* MERGEFORMAT </w:instrText>
    </w:r>
    <w:r w:rsidRPr="513062AB">
      <w:rPr>
        <w:noProof/>
      </w:rPr>
      <w:fldChar w:fldCharType="separate"/>
    </w:r>
    <w:r w:rsidR="00190A00">
      <w:rPr>
        <w:noProof/>
      </w:rPr>
      <w:t>1</w:t>
    </w:r>
    <w:r w:rsidRPr="513062AB">
      <w:rPr>
        <w:noProof/>
      </w:rPr>
      <w:fldChar w:fldCharType="end"/>
    </w:r>
    <w:r>
      <w:t xml:space="preserve"> van </w:t>
    </w:r>
    <w:r w:rsidRPr="513062AB">
      <w:rPr>
        <w:noProof/>
      </w:rPr>
      <w:fldChar w:fldCharType="begin"/>
    </w:r>
    <w:r w:rsidRPr="513062AB">
      <w:rPr>
        <w:noProof/>
      </w:rPr>
      <w:instrText xml:space="preserve"> NUMPAGES  \* Arabic  \* MERGEFORMAT </w:instrText>
    </w:r>
    <w:r w:rsidRPr="513062AB">
      <w:rPr>
        <w:noProof/>
      </w:rPr>
      <w:fldChar w:fldCharType="separate"/>
    </w:r>
    <w:r w:rsidR="00190A00">
      <w:rPr>
        <w:noProof/>
      </w:rPr>
      <w:t>4</w:t>
    </w:r>
    <w:r w:rsidRPr="513062AB">
      <w:rPr>
        <w:noProof/>
      </w:rPr>
      <w:fldChar w:fldCharType="end"/>
    </w:r>
  </w:p>
  <w:p w14:paraId="5D6FBACD" w14:textId="77777777" w:rsidR="00255F52" w:rsidRDefault="00255F52" w:rsidP="001E0A0C">
    <w:pPr>
      <w:pStyle w:val="Koptekst"/>
      <w:spacing w:after="0" w:line="240" w:lineRule="auto"/>
    </w:pPr>
  </w:p>
  <w:p w14:paraId="225E2703" w14:textId="77777777" w:rsidR="00255F52" w:rsidRDefault="00255F52" w:rsidP="001E0A0C">
    <w:pPr>
      <w:pStyle w:val="Koptekst"/>
      <w:spacing w:after="0" w:line="240" w:lineRule="auto"/>
    </w:pPr>
  </w:p>
  <w:p w14:paraId="110B5E15" w14:textId="77777777" w:rsidR="00255F52" w:rsidRDefault="00255F52" w:rsidP="001E0A0C">
    <w:pPr>
      <w:pStyle w:val="Koptekst"/>
      <w:spacing w:after="0" w:line="240" w:lineRule="auto"/>
    </w:pPr>
  </w:p>
  <w:p w14:paraId="7C2503BF" w14:textId="77777777" w:rsidR="00255F52" w:rsidRDefault="00255F52" w:rsidP="001E0A0C">
    <w:pPr>
      <w:pStyle w:val="Koptekst"/>
      <w:spacing w:after="0" w:line="240" w:lineRule="auto"/>
    </w:pPr>
  </w:p>
  <w:p w14:paraId="330DB877" w14:textId="77777777" w:rsidR="00255F52" w:rsidRDefault="00255F52" w:rsidP="001E0A0C">
    <w:pPr>
      <w:pStyle w:val="Koptekst"/>
      <w:spacing w:after="0" w:line="240" w:lineRule="auto"/>
    </w:pPr>
  </w:p>
  <w:p w14:paraId="306A6D4C" w14:textId="77777777" w:rsidR="00255F52" w:rsidRDefault="00255F52" w:rsidP="001E0A0C">
    <w:pPr>
      <w:pStyle w:val="Koptekst"/>
      <w:spacing w:after="0" w:line="240" w:lineRule="auto"/>
    </w:pPr>
  </w:p>
  <w:p w14:paraId="7DEFBBB2" w14:textId="77777777" w:rsidR="00255F52" w:rsidRDefault="00255F52" w:rsidP="001E0A0C">
    <w:pPr>
      <w:pStyle w:val="Koptekst"/>
      <w:spacing w:after="0" w:line="240" w:lineRule="auto"/>
    </w:pPr>
  </w:p>
  <w:p w14:paraId="7100999E" w14:textId="77777777" w:rsidR="00255F52" w:rsidRDefault="00255F52" w:rsidP="001E0A0C">
    <w:pPr>
      <w:pStyle w:val="Koptekst"/>
      <w:spacing w:after="0" w:line="240" w:lineRule="auto"/>
    </w:pPr>
  </w:p>
  <w:p w14:paraId="3F122946" w14:textId="77777777" w:rsidR="00255F52" w:rsidRDefault="00255F52" w:rsidP="001E0A0C">
    <w:pPr>
      <w:pStyle w:val="Koptekst"/>
      <w:spacing w:after="0" w:line="240" w:lineRule="auto"/>
    </w:pPr>
  </w:p>
  <w:p w14:paraId="36C64B68" w14:textId="77777777" w:rsidR="00255F52" w:rsidRDefault="00255F52" w:rsidP="001E0A0C">
    <w:pPr>
      <w:pStyle w:val="Koptekst"/>
      <w:spacing w:after="0" w:line="240" w:lineRule="auto"/>
    </w:pPr>
  </w:p>
  <w:p w14:paraId="70479A9D" w14:textId="77777777" w:rsidR="00255F52" w:rsidRDefault="00255F52" w:rsidP="001E0A0C">
    <w:pPr>
      <w:pStyle w:val="Koptekst"/>
      <w:spacing w:after="0" w:line="240" w:lineRule="auto"/>
    </w:pPr>
  </w:p>
  <w:p w14:paraId="06035DF8" w14:textId="77777777" w:rsidR="00255F52" w:rsidRDefault="00255F52"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55F52" w14:paraId="754E93C5" w14:textId="77777777">
                            <w:trPr>
                              <w:trHeight w:hRule="exact" w:val="1049"/>
                            </w:trPr>
                            <w:tc>
                              <w:tcPr>
                                <w:tcW w:w="1983" w:type="dxa"/>
                                <w:tcMar>
                                  <w:left w:w="0" w:type="dxa"/>
                                  <w:right w:w="0" w:type="dxa"/>
                                </w:tcMar>
                                <w:vAlign w:val="bottom"/>
                              </w:tcPr>
                              <w:p w14:paraId="3201A1E0" w14:textId="77777777" w:rsidR="00255F52" w:rsidRDefault="00255F52">
                                <w:pPr>
                                  <w:pStyle w:val="Rubricering-Huisstijl"/>
                                </w:pPr>
                              </w:p>
                              <w:p w14:paraId="03ABEA77" w14:textId="77777777" w:rsidR="00255F52" w:rsidRDefault="00255F52">
                                <w:pPr>
                                  <w:pStyle w:val="Rubricering-Huisstijl"/>
                                </w:pPr>
                              </w:p>
                            </w:tc>
                          </w:tr>
                        </w:tbl>
                        <w:p w14:paraId="6287E3C7" w14:textId="77777777" w:rsidR="00255F52" w:rsidRDefault="00255F52"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30"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V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x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L88I1X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255F52" w14:paraId="754E93C5" w14:textId="77777777">
                      <w:trPr>
                        <w:trHeight w:hRule="exact" w:val="1049"/>
                      </w:trPr>
                      <w:tc>
                        <w:tcPr>
                          <w:tcW w:w="1983" w:type="dxa"/>
                          <w:tcMar>
                            <w:left w:w="0" w:type="dxa"/>
                            <w:right w:w="0" w:type="dxa"/>
                          </w:tcMar>
                          <w:vAlign w:val="bottom"/>
                        </w:tcPr>
                        <w:p w14:paraId="3201A1E0" w14:textId="77777777" w:rsidR="00255F52" w:rsidRDefault="00255F52">
                          <w:pPr>
                            <w:pStyle w:val="Rubricering-Huisstijl"/>
                          </w:pPr>
                        </w:p>
                        <w:p w14:paraId="03ABEA77" w14:textId="77777777" w:rsidR="00255F52" w:rsidRDefault="00255F52">
                          <w:pPr>
                            <w:pStyle w:val="Rubricering-Huisstijl"/>
                          </w:pPr>
                        </w:p>
                      </w:tc>
                    </w:tr>
                  </w:tbl>
                  <w:p w14:paraId="6287E3C7" w14:textId="77777777" w:rsidR="00255F52" w:rsidRDefault="00255F52"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55F52" w14:paraId="70AA4DFA" w14:textId="77777777">
                            <w:trPr>
                              <w:trHeight w:val="1274"/>
                            </w:trPr>
                            <w:tc>
                              <w:tcPr>
                                <w:tcW w:w="1968" w:type="dxa"/>
                                <w:tcMar>
                                  <w:left w:w="0" w:type="dxa"/>
                                  <w:right w:w="0" w:type="dxa"/>
                                </w:tcMar>
                                <w:vAlign w:val="bottom"/>
                              </w:tcPr>
                              <w:p w14:paraId="38AE9502" w14:textId="77777777" w:rsidR="00255F52" w:rsidRDefault="00255F52">
                                <w:pPr>
                                  <w:pStyle w:val="Rubricering-Huisstijl"/>
                                </w:pPr>
                              </w:p>
                              <w:p w14:paraId="1C973A75" w14:textId="77777777" w:rsidR="00255F52" w:rsidRDefault="00255F52">
                                <w:pPr>
                                  <w:pStyle w:val="Rubricering-Huisstijl"/>
                                </w:pPr>
                              </w:p>
                            </w:tc>
                          </w:tr>
                        </w:tbl>
                        <w:p w14:paraId="507E67DB" w14:textId="77777777" w:rsidR="00255F52" w:rsidRDefault="00255F52"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1"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5b0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RSY8EwD5KJ8BtVLAaIE/cKsBKMR8jtGA8ydBKtveyIpRu17Dp1jhtRs&#10;yNnIZ4PwAp4mOMdoMrd6Gmb7XrK6AeQpW1zcQXdVzAr/JQpgYBYwSyyX49wzw+p8bW+9TOfNL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HQzlvT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255F52" w14:paraId="70AA4DFA" w14:textId="77777777">
                      <w:trPr>
                        <w:trHeight w:val="1274"/>
                      </w:trPr>
                      <w:tc>
                        <w:tcPr>
                          <w:tcW w:w="1968" w:type="dxa"/>
                          <w:tcMar>
                            <w:left w:w="0" w:type="dxa"/>
                            <w:right w:w="0" w:type="dxa"/>
                          </w:tcMar>
                          <w:vAlign w:val="bottom"/>
                        </w:tcPr>
                        <w:p w14:paraId="38AE9502" w14:textId="77777777" w:rsidR="00255F52" w:rsidRDefault="00255F52">
                          <w:pPr>
                            <w:pStyle w:val="Rubricering-Huisstijl"/>
                          </w:pPr>
                        </w:p>
                        <w:p w14:paraId="1C973A75" w14:textId="77777777" w:rsidR="00255F52" w:rsidRDefault="00255F52">
                          <w:pPr>
                            <w:pStyle w:val="Rubricering-Huisstijl"/>
                          </w:pPr>
                        </w:p>
                      </w:tc>
                    </w:tr>
                  </w:tbl>
                  <w:p w14:paraId="507E67DB" w14:textId="77777777" w:rsidR="00255F52" w:rsidRDefault="00255F52"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0FC662C6"/>
    <w:multiLevelType w:val="hybridMultilevel"/>
    <w:tmpl w:val="8766FDF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2A26077"/>
    <w:multiLevelType w:val="hybridMultilevel"/>
    <w:tmpl w:val="927E8534"/>
    <w:lvl w:ilvl="0" w:tplc="4A8A190E">
      <w:numFmt w:val="bullet"/>
      <w:lvlText w:val="-"/>
      <w:lvlJc w:val="left"/>
      <w:pPr>
        <w:ind w:left="720" w:hanging="360"/>
      </w:pPr>
      <w:rPr>
        <w:rFonts w:ascii="Times New Roman" w:eastAsia="Calibri" w:hAnsi="Times New Roman" w:cs="Times New Roman" w:hint="default"/>
        <w:sz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2"/>
  </w:num>
  <w:num w:numId="6">
    <w:abstractNumId w:val="0"/>
  </w:num>
  <w:num w:numId="7">
    <w:abstractNumId w:val="18"/>
  </w:num>
  <w:num w:numId="8">
    <w:abstractNumId w:val="8"/>
  </w:num>
  <w:num w:numId="9">
    <w:abstractNumId w:val="16"/>
  </w:num>
  <w:num w:numId="10">
    <w:abstractNumId w:val="12"/>
  </w:num>
  <w:num w:numId="11">
    <w:abstractNumId w:val="1"/>
  </w:num>
  <w:num w:numId="12">
    <w:abstractNumId w:val="15"/>
  </w:num>
  <w:num w:numId="13">
    <w:abstractNumId w:val="6"/>
  </w:num>
  <w:num w:numId="14">
    <w:abstractNumId w:val="19"/>
  </w:num>
  <w:num w:numId="15">
    <w:abstractNumId w:val="17"/>
  </w:num>
  <w:num w:numId="16">
    <w:abstractNumId w:val="9"/>
  </w:num>
  <w:num w:numId="17">
    <w:abstractNumId w:val="11"/>
  </w:num>
  <w:num w:numId="18">
    <w:abstractNumId w:val="14"/>
  </w:num>
  <w:num w:numId="19">
    <w:abstractNumId w:val="3"/>
  </w:num>
  <w:num w:numId="2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7B"/>
    <w:rsid w:val="0000462D"/>
    <w:rsid w:val="000046C8"/>
    <w:rsid w:val="00006948"/>
    <w:rsid w:val="00007ABC"/>
    <w:rsid w:val="000102B2"/>
    <w:rsid w:val="00010F80"/>
    <w:rsid w:val="00015494"/>
    <w:rsid w:val="00016F78"/>
    <w:rsid w:val="00022890"/>
    <w:rsid w:val="00024DFB"/>
    <w:rsid w:val="00031C57"/>
    <w:rsid w:val="000353DC"/>
    <w:rsid w:val="000439EC"/>
    <w:rsid w:val="00047677"/>
    <w:rsid w:val="000503BE"/>
    <w:rsid w:val="000537BF"/>
    <w:rsid w:val="00057DFD"/>
    <w:rsid w:val="000605A5"/>
    <w:rsid w:val="00066494"/>
    <w:rsid w:val="0006795E"/>
    <w:rsid w:val="000705C1"/>
    <w:rsid w:val="00070F18"/>
    <w:rsid w:val="000718DF"/>
    <w:rsid w:val="0007238F"/>
    <w:rsid w:val="00073ACC"/>
    <w:rsid w:val="00076014"/>
    <w:rsid w:val="000813F9"/>
    <w:rsid w:val="00084332"/>
    <w:rsid w:val="000866A3"/>
    <w:rsid w:val="00090FCA"/>
    <w:rsid w:val="00096025"/>
    <w:rsid w:val="000A397C"/>
    <w:rsid w:val="000A4999"/>
    <w:rsid w:val="000A568C"/>
    <w:rsid w:val="000B10F5"/>
    <w:rsid w:val="000B2E9B"/>
    <w:rsid w:val="000C0EE7"/>
    <w:rsid w:val="000C5B9A"/>
    <w:rsid w:val="000D04B7"/>
    <w:rsid w:val="000D0975"/>
    <w:rsid w:val="000D0E1D"/>
    <w:rsid w:val="000D19DB"/>
    <w:rsid w:val="000E00ED"/>
    <w:rsid w:val="000E0AE6"/>
    <w:rsid w:val="000E25B3"/>
    <w:rsid w:val="000E269D"/>
    <w:rsid w:val="000F4AD1"/>
    <w:rsid w:val="0010129C"/>
    <w:rsid w:val="00101606"/>
    <w:rsid w:val="00106A5B"/>
    <w:rsid w:val="00106FF4"/>
    <w:rsid w:val="00111585"/>
    <w:rsid w:val="00113A09"/>
    <w:rsid w:val="00114173"/>
    <w:rsid w:val="00114979"/>
    <w:rsid w:val="00116DEF"/>
    <w:rsid w:val="001222FA"/>
    <w:rsid w:val="0012473F"/>
    <w:rsid w:val="001261CA"/>
    <w:rsid w:val="00126A63"/>
    <w:rsid w:val="00127E69"/>
    <w:rsid w:val="00135C69"/>
    <w:rsid w:val="001412EC"/>
    <w:rsid w:val="00145577"/>
    <w:rsid w:val="00146A97"/>
    <w:rsid w:val="00147198"/>
    <w:rsid w:val="0015319A"/>
    <w:rsid w:val="00157037"/>
    <w:rsid w:val="00165934"/>
    <w:rsid w:val="00170146"/>
    <w:rsid w:val="00171920"/>
    <w:rsid w:val="00173BA8"/>
    <w:rsid w:val="00174362"/>
    <w:rsid w:val="00174B2F"/>
    <w:rsid w:val="00175212"/>
    <w:rsid w:val="00176C7D"/>
    <w:rsid w:val="00181D6D"/>
    <w:rsid w:val="00184726"/>
    <w:rsid w:val="001863E9"/>
    <w:rsid w:val="001874DF"/>
    <w:rsid w:val="00190A00"/>
    <w:rsid w:val="00191FB8"/>
    <w:rsid w:val="00195F2D"/>
    <w:rsid w:val="00197AA3"/>
    <w:rsid w:val="001A179A"/>
    <w:rsid w:val="001A38C2"/>
    <w:rsid w:val="001A4B9E"/>
    <w:rsid w:val="001A5484"/>
    <w:rsid w:val="001A748C"/>
    <w:rsid w:val="001A7E9D"/>
    <w:rsid w:val="001B1B69"/>
    <w:rsid w:val="001B1B99"/>
    <w:rsid w:val="001B1F9B"/>
    <w:rsid w:val="001B3349"/>
    <w:rsid w:val="001C42AA"/>
    <w:rsid w:val="001C44AE"/>
    <w:rsid w:val="001C7F87"/>
    <w:rsid w:val="001D20F6"/>
    <w:rsid w:val="001D34D1"/>
    <w:rsid w:val="001D35F1"/>
    <w:rsid w:val="001E0A0C"/>
    <w:rsid w:val="001E2263"/>
    <w:rsid w:val="001E23C4"/>
    <w:rsid w:val="001E2FE5"/>
    <w:rsid w:val="001E30CB"/>
    <w:rsid w:val="001E45EE"/>
    <w:rsid w:val="001F2B92"/>
    <w:rsid w:val="001F4ADE"/>
    <w:rsid w:val="001F5313"/>
    <w:rsid w:val="00202827"/>
    <w:rsid w:val="00210349"/>
    <w:rsid w:val="002161F3"/>
    <w:rsid w:val="002238A6"/>
    <w:rsid w:val="00225AFA"/>
    <w:rsid w:val="00225B65"/>
    <w:rsid w:val="002324B1"/>
    <w:rsid w:val="002341CC"/>
    <w:rsid w:val="00234A25"/>
    <w:rsid w:val="00234F08"/>
    <w:rsid w:val="00240F23"/>
    <w:rsid w:val="00241C04"/>
    <w:rsid w:val="00241EB6"/>
    <w:rsid w:val="0024266E"/>
    <w:rsid w:val="00247B94"/>
    <w:rsid w:val="00255208"/>
    <w:rsid w:val="00255F52"/>
    <w:rsid w:val="0026302F"/>
    <w:rsid w:val="002635AF"/>
    <w:rsid w:val="00263E57"/>
    <w:rsid w:val="0026438B"/>
    <w:rsid w:val="00264D9C"/>
    <w:rsid w:val="00264F8A"/>
    <w:rsid w:val="00265D42"/>
    <w:rsid w:val="00273ACE"/>
    <w:rsid w:val="002745FE"/>
    <w:rsid w:val="00283B56"/>
    <w:rsid w:val="00291F1F"/>
    <w:rsid w:val="002970D1"/>
    <w:rsid w:val="002A176B"/>
    <w:rsid w:val="002A4257"/>
    <w:rsid w:val="002A5A89"/>
    <w:rsid w:val="002B168D"/>
    <w:rsid w:val="002B2BE9"/>
    <w:rsid w:val="002B3A64"/>
    <w:rsid w:val="002B48F6"/>
    <w:rsid w:val="002B725D"/>
    <w:rsid w:val="002C06C7"/>
    <w:rsid w:val="002C1FD5"/>
    <w:rsid w:val="002D1898"/>
    <w:rsid w:val="002D2211"/>
    <w:rsid w:val="002D2E33"/>
    <w:rsid w:val="002D432D"/>
    <w:rsid w:val="002E2649"/>
    <w:rsid w:val="002E37E8"/>
    <w:rsid w:val="002F076A"/>
    <w:rsid w:val="002F31D9"/>
    <w:rsid w:val="002F3579"/>
    <w:rsid w:val="002F4A71"/>
    <w:rsid w:val="002F4A93"/>
    <w:rsid w:val="002F562F"/>
    <w:rsid w:val="002F61F0"/>
    <w:rsid w:val="0030482E"/>
    <w:rsid w:val="00304E2E"/>
    <w:rsid w:val="00313D0F"/>
    <w:rsid w:val="00315294"/>
    <w:rsid w:val="0031619B"/>
    <w:rsid w:val="00316E6F"/>
    <w:rsid w:val="003177F0"/>
    <w:rsid w:val="00320021"/>
    <w:rsid w:val="003224B7"/>
    <w:rsid w:val="003258E4"/>
    <w:rsid w:val="003312F3"/>
    <w:rsid w:val="0033238C"/>
    <w:rsid w:val="003433DF"/>
    <w:rsid w:val="00343458"/>
    <w:rsid w:val="00345EDF"/>
    <w:rsid w:val="003503F2"/>
    <w:rsid w:val="00362F0B"/>
    <w:rsid w:val="00365D7C"/>
    <w:rsid w:val="00366055"/>
    <w:rsid w:val="00372F73"/>
    <w:rsid w:val="00373456"/>
    <w:rsid w:val="00373928"/>
    <w:rsid w:val="003743BE"/>
    <w:rsid w:val="00375465"/>
    <w:rsid w:val="00385E03"/>
    <w:rsid w:val="00390F68"/>
    <w:rsid w:val="00391627"/>
    <w:rsid w:val="003918AF"/>
    <w:rsid w:val="003A5399"/>
    <w:rsid w:val="003B2245"/>
    <w:rsid w:val="003C3279"/>
    <w:rsid w:val="003C4AA2"/>
    <w:rsid w:val="003C6930"/>
    <w:rsid w:val="003D6BE4"/>
    <w:rsid w:val="003D7FAA"/>
    <w:rsid w:val="003E2999"/>
    <w:rsid w:val="003E7968"/>
    <w:rsid w:val="003F1A73"/>
    <w:rsid w:val="003F2336"/>
    <w:rsid w:val="003F2AB0"/>
    <w:rsid w:val="003F46A3"/>
    <w:rsid w:val="003F4F40"/>
    <w:rsid w:val="003F72C3"/>
    <w:rsid w:val="003F7896"/>
    <w:rsid w:val="0040242F"/>
    <w:rsid w:val="00404F51"/>
    <w:rsid w:val="0040612F"/>
    <w:rsid w:val="00406538"/>
    <w:rsid w:val="00421420"/>
    <w:rsid w:val="00421CB2"/>
    <w:rsid w:val="00421D95"/>
    <w:rsid w:val="00422D4F"/>
    <w:rsid w:val="00423DED"/>
    <w:rsid w:val="0042405C"/>
    <w:rsid w:val="0042438A"/>
    <w:rsid w:val="00424B09"/>
    <w:rsid w:val="00424CCD"/>
    <w:rsid w:val="00426B7F"/>
    <w:rsid w:val="00427658"/>
    <w:rsid w:val="00427F37"/>
    <w:rsid w:val="004325FA"/>
    <w:rsid w:val="004338B8"/>
    <w:rsid w:val="00433C5C"/>
    <w:rsid w:val="0043508E"/>
    <w:rsid w:val="004356BE"/>
    <w:rsid w:val="0044385C"/>
    <w:rsid w:val="00445FF4"/>
    <w:rsid w:val="004472CC"/>
    <w:rsid w:val="00447563"/>
    <w:rsid w:val="00456E7B"/>
    <w:rsid w:val="00457BBC"/>
    <w:rsid w:val="00460D4E"/>
    <w:rsid w:val="00465D4B"/>
    <w:rsid w:val="00466084"/>
    <w:rsid w:val="004826D0"/>
    <w:rsid w:val="00486B98"/>
    <w:rsid w:val="004942D2"/>
    <w:rsid w:val="00494E98"/>
    <w:rsid w:val="00496943"/>
    <w:rsid w:val="004A5494"/>
    <w:rsid w:val="004B0E47"/>
    <w:rsid w:val="004B4C8F"/>
    <w:rsid w:val="004B5348"/>
    <w:rsid w:val="004C06E9"/>
    <w:rsid w:val="004D5253"/>
    <w:rsid w:val="004E1AE0"/>
    <w:rsid w:val="004E2B06"/>
    <w:rsid w:val="004E2F69"/>
    <w:rsid w:val="004E567C"/>
    <w:rsid w:val="0050069B"/>
    <w:rsid w:val="005036AD"/>
    <w:rsid w:val="0050690D"/>
    <w:rsid w:val="005120BD"/>
    <w:rsid w:val="005145BC"/>
    <w:rsid w:val="00522BF3"/>
    <w:rsid w:val="00523349"/>
    <w:rsid w:val="0052640B"/>
    <w:rsid w:val="00527484"/>
    <w:rsid w:val="00531757"/>
    <w:rsid w:val="005344CB"/>
    <w:rsid w:val="005348AC"/>
    <w:rsid w:val="00534BC3"/>
    <w:rsid w:val="00534DF8"/>
    <w:rsid w:val="00535318"/>
    <w:rsid w:val="005368CB"/>
    <w:rsid w:val="00537955"/>
    <w:rsid w:val="005416FE"/>
    <w:rsid w:val="005441FA"/>
    <w:rsid w:val="00554568"/>
    <w:rsid w:val="00563569"/>
    <w:rsid w:val="00566704"/>
    <w:rsid w:val="00577E62"/>
    <w:rsid w:val="00587114"/>
    <w:rsid w:val="00592480"/>
    <w:rsid w:val="00595791"/>
    <w:rsid w:val="00595879"/>
    <w:rsid w:val="00596A52"/>
    <w:rsid w:val="005A2A6C"/>
    <w:rsid w:val="005A50BA"/>
    <w:rsid w:val="005A616A"/>
    <w:rsid w:val="005A6280"/>
    <w:rsid w:val="005C4B86"/>
    <w:rsid w:val="005D1E20"/>
    <w:rsid w:val="005D2792"/>
    <w:rsid w:val="005D2AE9"/>
    <w:rsid w:val="005D33EB"/>
    <w:rsid w:val="005D5F99"/>
    <w:rsid w:val="005D7E41"/>
    <w:rsid w:val="005E3E76"/>
    <w:rsid w:val="005E51A9"/>
    <w:rsid w:val="005E7487"/>
    <w:rsid w:val="005F0E06"/>
    <w:rsid w:val="005F5BE2"/>
    <w:rsid w:val="005F7896"/>
    <w:rsid w:val="005F7E5A"/>
    <w:rsid w:val="006003A0"/>
    <w:rsid w:val="006018F4"/>
    <w:rsid w:val="0060422E"/>
    <w:rsid w:val="00612A13"/>
    <w:rsid w:val="006241DB"/>
    <w:rsid w:val="006257EB"/>
    <w:rsid w:val="00626C7B"/>
    <w:rsid w:val="00626F8C"/>
    <w:rsid w:val="00627680"/>
    <w:rsid w:val="0063013E"/>
    <w:rsid w:val="006441DF"/>
    <w:rsid w:val="00645B46"/>
    <w:rsid w:val="00646C84"/>
    <w:rsid w:val="0065060E"/>
    <w:rsid w:val="00652223"/>
    <w:rsid w:val="00655408"/>
    <w:rsid w:val="00656716"/>
    <w:rsid w:val="00657C3D"/>
    <w:rsid w:val="006662F2"/>
    <w:rsid w:val="006673E2"/>
    <w:rsid w:val="006718CA"/>
    <w:rsid w:val="0067305B"/>
    <w:rsid w:val="00675E64"/>
    <w:rsid w:val="00693629"/>
    <w:rsid w:val="006A0A8C"/>
    <w:rsid w:val="006A0D68"/>
    <w:rsid w:val="006A22E1"/>
    <w:rsid w:val="006A308F"/>
    <w:rsid w:val="006A4872"/>
    <w:rsid w:val="006B275D"/>
    <w:rsid w:val="006B2A52"/>
    <w:rsid w:val="006B3FF4"/>
    <w:rsid w:val="006B51CD"/>
    <w:rsid w:val="006C0DC3"/>
    <w:rsid w:val="006D0697"/>
    <w:rsid w:val="006D0865"/>
    <w:rsid w:val="006D4DE7"/>
    <w:rsid w:val="006D616D"/>
    <w:rsid w:val="006D6B61"/>
    <w:rsid w:val="006D7BFB"/>
    <w:rsid w:val="006E0F84"/>
    <w:rsid w:val="006E1636"/>
    <w:rsid w:val="006E4A6E"/>
    <w:rsid w:val="007008BD"/>
    <w:rsid w:val="00701334"/>
    <w:rsid w:val="00701FEB"/>
    <w:rsid w:val="0070547E"/>
    <w:rsid w:val="0071103C"/>
    <w:rsid w:val="00711D43"/>
    <w:rsid w:val="00712EE0"/>
    <w:rsid w:val="00715023"/>
    <w:rsid w:val="0072417E"/>
    <w:rsid w:val="00731B89"/>
    <w:rsid w:val="0073447E"/>
    <w:rsid w:val="00734A3D"/>
    <w:rsid w:val="00737DB0"/>
    <w:rsid w:val="00737E44"/>
    <w:rsid w:val="00742E5C"/>
    <w:rsid w:val="00743FC8"/>
    <w:rsid w:val="00747697"/>
    <w:rsid w:val="00747945"/>
    <w:rsid w:val="00752B0F"/>
    <w:rsid w:val="007549D9"/>
    <w:rsid w:val="00756B79"/>
    <w:rsid w:val="00765C53"/>
    <w:rsid w:val="00767792"/>
    <w:rsid w:val="007729A4"/>
    <w:rsid w:val="00773662"/>
    <w:rsid w:val="00777E5C"/>
    <w:rsid w:val="0078412F"/>
    <w:rsid w:val="00791C0F"/>
    <w:rsid w:val="007953A1"/>
    <w:rsid w:val="0079631A"/>
    <w:rsid w:val="007A2822"/>
    <w:rsid w:val="007A3460"/>
    <w:rsid w:val="007B0B76"/>
    <w:rsid w:val="007B3488"/>
    <w:rsid w:val="007B4D24"/>
    <w:rsid w:val="007C6A73"/>
    <w:rsid w:val="007D2A73"/>
    <w:rsid w:val="007D5D69"/>
    <w:rsid w:val="007D6203"/>
    <w:rsid w:val="007D75C6"/>
    <w:rsid w:val="007E0986"/>
    <w:rsid w:val="007E7E70"/>
    <w:rsid w:val="007F0C01"/>
    <w:rsid w:val="007F49AD"/>
    <w:rsid w:val="007F49C4"/>
    <w:rsid w:val="007F4D24"/>
    <w:rsid w:val="007F5AF6"/>
    <w:rsid w:val="00801481"/>
    <w:rsid w:val="008027BB"/>
    <w:rsid w:val="00803B7B"/>
    <w:rsid w:val="00804927"/>
    <w:rsid w:val="0081161F"/>
    <w:rsid w:val="008137D7"/>
    <w:rsid w:val="00813F1D"/>
    <w:rsid w:val="00815D72"/>
    <w:rsid w:val="0082551A"/>
    <w:rsid w:val="008259D3"/>
    <w:rsid w:val="00831548"/>
    <w:rsid w:val="00831781"/>
    <w:rsid w:val="00834709"/>
    <w:rsid w:val="00837C7F"/>
    <w:rsid w:val="008405BF"/>
    <w:rsid w:val="00842DA8"/>
    <w:rsid w:val="00851CEE"/>
    <w:rsid w:val="00860138"/>
    <w:rsid w:val="00860E2E"/>
    <w:rsid w:val="008610B7"/>
    <w:rsid w:val="00861220"/>
    <w:rsid w:val="008623B7"/>
    <w:rsid w:val="00863A2F"/>
    <w:rsid w:val="008655E7"/>
    <w:rsid w:val="008703A8"/>
    <w:rsid w:val="00874163"/>
    <w:rsid w:val="0087488E"/>
    <w:rsid w:val="0087500A"/>
    <w:rsid w:val="00881E10"/>
    <w:rsid w:val="00885B51"/>
    <w:rsid w:val="0088611F"/>
    <w:rsid w:val="00886CF8"/>
    <w:rsid w:val="00887812"/>
    <w:rsid w:val="00894290"/>
    <w:rsid w:val="008967D1"/>
    <w:rsid w:val="008A13D8"/>
    <w:rsid w:val="008A5130"/>
    <w:rsid w:val="008A7014"/>
    <w:rsid w:val="008A7B86"/>
    <w:rsid w:val="008C035E"/>
    <w:rsid w:val="008C1103"/>
    <w:rsid w:val="008C1272"/>
    <w:rsid w:val="008C29FA"/>
    <w:rsid w:val="008C2A38"/>
    <w:rsid w:val="008C2AC2"/>
    <w:rsid w:val="008C54CE"/>
    <w:rsid w:val="008D0DB9"/>
    <w:rsid w:val="008D2C06"/>
    <w:rsid w:val="008D681B"/>
    <w:rsid w:val="008D7185"/>
    <w:rsid w:val="008E1769"/>
    <w:rsid w:val="008E2670"/>
    <w:rsid w:val="008E2944"/>
    <w:rsid w:val="008E37EC"/>
    <w:rsid w:val="008F1831"/>
    <w:rsid w:val="008F5563"/>
    <w:rsid w:val="00900EAB"/>
    <w:rsid w:val="00906017"/>
    <w:rsid w:val="00910062"/>
    <w:rsid w:val="009135AD"/>
    <w:rsid w:val="00915D36"/>
    <w:rsid w:val="00917282"/>
    <w:rsid w:val="0092103B"/>
    <w:rsid w:val="0092106C"/>
    <w:rsid w:val="0093242C"/>
    <w:rsid w:val="0093331D"/>
    <w:rsid w:val="009337CE"/>
    <w:rsid w:val="009417A5"/>
    <w:rsid w:val="00942303"/>
    <w:rsid w:val="00952E39"/>
    <w:rsid w:val="00952E94"/>
    <w:rsid w:val="00960F23"/>
    <w:rsid w:val="00964168"/>
    <w:rsid w:val="00965521"/>
    <w:rsid w:val="00971A71"/>
    <w:rsid w:val="00981162"/>
    <w:rsid w:val="0098313C"/>
    <w:rsid w:val="00985586"/>
    <w:rsid w:val="0099070B"/>
    <w:rsid w:val="009911E4"/>
    <w:rsid w:val="009911EA"/>
    <w:rsid w:val="00992639"/>
    <w:rsid w:val="00992706"/>
    <w:rsid w:val="00993499"/>
    <w:rsid w:val="0099617A"/>
    <w:rsid w:val="00997E7B"/>
    <w:rsid w:val="009A0B66"/>
    <w:rsid w:val="009A0D08"/>
    <w:rsid w:val="009A3EFD"/>
    <w:rsid w:val="009A47E0"/>
    <w:rsid w:val="009B0006"/>
    <w:rsid w:val="009B2E39"/>
    <w:rsid w:val="009B50C3"/>
    <w:rsid w:val="009B7F85"/>
    <w:rsid w:val="009C0682"/>
    <w:rsid w:val="009C283A"/>
    <w:rsid w:val="009C5173"/>
    <w:rsid w:val="009D4D9A"/>
    <w:rsid w:val="009E06CC"/>
    <w:rsid w:val="009E42B1"/>
    <w:rsid w:val="009E635C"/>
    <w:rsid w:val="009F01F6"/>
    <w:rsid w:val="009F0324"/>
    <w:rsid w:val="009F3528"/>
    <w:rsid w:val="009F741F"/>
    <w:rsid w:val="00A01699"/>
    <w:rsid w:val="00A02741"/>
    <w:rsid w:val="00A1104A"/>
    <w:rsid w:val="00A17844"/>
    <w:rsid w:val="00A17A2B"/>
    <w:rsid w:val="00A17EA0"/>
    <w:rsid w:val="00A20678"/>
    <w:rsid w:val="00A212C8"/>
    <w:rsid w:val="00A2156E"/>
    <w:rsid w:val="00A25A2B"/>
    <w:rsid w:val="00A42B10"/>
    <w:rsid w:val="00A42F02"/>
    <w:rsid w:val="00A4515C"/>
    <w:rsid w:val="00A473A2"/>
    <w:rsid w:val="00A47DC5"/>
    <w:rsid w:val="00A51568"/>
    <w:rsid w:val="00A54BF5"/>
    <w:rsid w:val="00A54E69"/>
    <w:rsid w:val="00A613FC"/>
    <w:rsid w:val="00A62689"/>
    <w:rsid w:val="00A70CA4"/>
    <w:rsid w:val="00A73535"/>
    <w:rsid w:val="00A73564"/>
    <w:rsid w:val="00A74EB5"/>
    <w:rsid w:val="00A81222"/>
    <w:rsid w:val="00A85074"/>
    <w:rsid w:val="00A93006"/>
    <w:rsid w:val="00A940A5"/>
    <w:rsid w:val="00A9514E"/>
    <w:rsid w:val="00AA0B6D"/>
    <w:rsid w:val="00AA3E84"/>
    <w:rsid w:val="00AA5907"/>
    <w:rsid w:val="00AA62CF"/>
    <w:rsid w:val="00AA66BA"/>
    <w:rsid w:val="00AB2152"/>
    <w:rsid w:val="00AB3FA9"/>
    <w:rsid w:val="00AB5F67"/>
    <w:rsid w:val="00AB7285"/>
    <w:rsid w:val="00AB7964"/>
    <w:rsid w:val="00AC0357"/>
    <w:rsid w:val="00AC0AD7"/>
    <w:rsid w:val="00AC36B5"/>
    <w:rsid w:val="00AC4367"/>
    <w:rsid w:val="00AC6230"/>
    <w:rsid w:val="00AC67B6"/>
    <w:rsid w:val="00AC7B88"/>
    <w:rsid w:val="00AD1A19"/>
    <w:rsid w:val="00AD4968"/>
    <w:rsid w:val="00AD59C4"/>
    <w:rsid w:val="00AD621D"/>
    <w:rsid w:val="00AE0C75"/>
    <w:rsid w:val="00AE4C45"/>
    <w:rsid w:val="00AE4F70"/>
    <w:rsid w:val="00AE5BFC"/>
    <w:rsid w:val="00AF295F"/>
    <w:rsid w:val="00AF4E29"/>
    <w:rsid w:val="00AF4F0E"/>
    <w:rsid w:val="00B04930"/>
    <w:rsid w:val="00B07E05"/>
    <w:rsid w:val="00B07EF5"/>
    <w:rsid w:val="00B1421F"/>
    <w:rsid w:val="00B142BB"/>
    <w:rsid w:val="00B201DD"/>
    <w:rsid w:val="00B32365"/>
    <w:rsid w:val="00B45EF4"/>
    <w:rsid w:val="00B46487"/>
    <w:rsid w:val="00B47722"/>
    <w:rsid w:val="00B61DDC"/>
    <w:rsid w:val="00B61F48"/>
    <w:rsid w:val="00B62C1F"/>
    <w:rsid w:val="00B63020"/>
    <w:rsid w:val="00B669CF"/>
    <w:rsid w:val="00B821DA"/>
    <w:rsid w:val="00B83FF1"/>
    <w:rsid w:val="00B846D5"/>
    <w:rsid w:val="00B85E84"/>
    <w:rsid w:val="00B91A7C"/>
    <w:rsid w:val="00B934C7"/>
    <w:rsid w:val="00BA4448"/>
    <w:rsid w:val="00BA7689"/>
    <w:rsid w:val="00BB0FCC"/>
    <w:rsid w:val="00BB1BDB"/>
    <w:rsid w:val="00BB27BB"/>
    <w:rsid w:val="00BB66C0"/>
    <w:rsid w:val="00BB69DA"/>
    <w:rsid w:val="00BC1A6B"/>
    <w:rsid w:val="00BC3C8D"/>
    <w:rsid w:val="00BD639F"/>
    <w:rsid w:val="00BD6ED6"/>
    <w:rsid w:val="00BE1E55"/>
    <w:rsid w:val="00BE2D79"/>
    <w:rsid w:val="00BE672D"/>
    <w:rsid w:val="00BE708A"/>
    <w:rsid w:val="00BF05BB"/>
    <w:rsid w:val="00BF0A0A"/>
    <w:rsid w:val="00BF0B4E"/>
    <w:rsid w:val="00BF2927"/>
    <w:rsid w:val="00C05768"/>
    <w:rsid w:val="00C137D9"/>
    <w:rsid w:val="00C168C0"/>
    <w:rsid w:val="00C23CC7"/>
    <w:rsid w:val="00C3606D"/>
    <w:rsid w:val="00C370CC"/>
    <w:rsid w:val="00C42927"/>
    <w:rsid w:val="00C4379D"/>
    <w:rsid w:val="00C45C39"/>
    <w:rsid w:val="00C45F17"/>
    <w:rsid w:val="00C46894"/>
    <w:rsid w:val="00C46A23"/>
    <w:rsid w:val="00C52339"/>
    <w:rsid w:val="00C539C2"/>
    <w:rsid w:val="00C54BDF"/>
    <w:rsid w:val="00C55B33"/>
    <w:rsid w:val="00C6661F"/>
    <w:rsid w:val="00C70906"/>
    <w:rsid w:val="00C711ED"/>
    <w:rsid w:val="00C72D1E"/>
    <w:rsid w:val="00C73DBF"/>
    <w:rsid w:val="00C74D50"/>
    <w:rsid w:val="00C75459"/>
    <w:rsid w:val="00C76386"/>
    <w:rsid w:val="00C820CB"/>
    <w:rsid w:val="00C87479"/>
    <w:rsid w:val="00C93038"/>
    <w:rsid w:val="00C95FA5"/>
    <w:rsid w:val="00CA5A98"/>
    <w:rsid w:val="00CB16B6"/>
    <w:rsid w:val="00CB6630"/>
    <w:rsid w:val="00CB6F5F"/>
    <w:rsid w:val="00CB7EF3"/>
    <w:rsid w:val="00CC3437"/>
    <w:rsid w:val="00CC6BF3"/>
    <w:rsid w:val="00CC7734"/>
    <w:rsid w:val="00CD5FC5"/>
    <w:rsid w:val="00CD6C56"/>
    <w:rsid w:val="00CE3FB6"/>
    <w:rsid w:val="00CE4166"/>
    <w:rsid w:val="00CE53A0"/>
    <w:rsid w:val="00CE75FA"/>
    <w:rsid w:val="00CE7CA8"/>
    <w:rsid w:val="00CF3370"/>
    <w:rsid w:val="00D013D1"/>
    <w:rsid w:val="00D05C33"/>
    <w:rsid w:val="00D1163F"/>
    <w:rsid w:val="00D13397"/>
    <w:rsid w:val="00D20A76"/>
    <w:rsid w:val="00D21110"/>
    <w:rsid w:val="00D21AAA"/>
    <w:rsid w:val="00D24F30"/>
    <w:rsid w:val="00D32089"/>
    <w:rsid w:val="00D33128"/>
    <w:rsid w:val="00D36E0B"/>
    <w:rsid w:val="00D42684"/>
    <w:rsid w:val="00D42E0D"/>
    <w:rsid w:val="00D43433"/>
    <w:rsid w:val="00D514DD"/>
    <w:rsid w:val="00D52EEE"/>
    <w:rsid w:val="00D6655B"/>
    <w:rsid w:val="00D719E2"/>
    <w:rsid w:val="00D75FE2"/>
    <w:rsid w:val="00D7795A"/>
    <w:rsid w:val="00D77A6C"/>
    <w:rsid w:val="00D8409E"/>
    <w:rsid w:val="00D84838"/>
    <w:rsid w:val="00D86FCD"/>
    <w:rsid w:val="00D87901"/>
    <w:rsid w:val="00D90839"/>
    <w:rsid w:val="00D927FE"/>
    <w:rsid w:val="00D943DE"/>
    <w:rsid w:val="00D953EF"/>
    <w:rsid w:val="00DA47C4"/>
    <w:rsid w:val="00DA6352"/>
    <w:rsid w:val="00DA72E4"/>
    <w:rsid w:val="00DB5AD2"/>
    <w:rsid w:val="00DC2AB1"/>
    <w:rsid w:val="00DD5688"/>
    <w:rsid w:val="00DE0D2F"/>
    <w:rsid w:val="00DE16ED"/>
    <w:rsid w:val="00DE4003"/>
    <w:rsid w:val="00DE57C8"/>
    <w:rsid w:val="00DE5F38"/>
    <w:rsid w:val="00DE72E0"/>
    <w:rsid w:val="00DF09E3"/>
    <w:rsid w:val="00DF21FA"/>
    <w:rsid w:val="00DF75EA"/>
    <w:rsid w:val="00DF7C21"/>
    <w:rsid w:val="00E24E54"/>
    <w:rsid w:val="00E26883"/>
    <w:rsid w:val="00E26D15"/>
    <w:rsid w:val="00E3304B"/>
    <w:rsid w:val="00E36D52"/>
    <w:rsid w:val="00E41E85"/>
    <w:rsid w:val="00E42927"/>
    <w:rsid w:val="00E5734B"/>
    <w:rsid w:val="00E57D29"/>
    <w:rsid w:val="00E61E40"/>
    <w:rsid w:val="00E62B19"/>
    <w:rsid w:val="00E642EB"/>
    <w:rsid w:val="00E64570"/>
    <w:rsid w:val="00E654B6"/>
    <w:rsid w:val="00E65915"/>
    <w:rsid w:val="00E66D5B"/>
    <w:rsid w:val="00E72065"/>
    <w:rsid w:val="00E746DC"/>
    <w:rsid w:val="00E759DA"/>
    <w:rsid w:val="00E75FD6"/>
    <w:rsid w:val="00E771D0"/>
    <w:rsid w:val="00E819A3"/>
    <w:rsid w:val="00E8200A"/>
    <w:rsid w:val="00E82E52"/>
    <w:rsid w:val="00E8594B"/>
    <w:rsid w:val="00E93FF5"/>
    <w:rsid w:val="00EA195C"/>
    <w:rsid w:val="00EA63DF"/>
    <w:rsid w:val="00EA6EE5"/>
    <w:rsid w:val="00EA778C"/>
    <w:rsid w:val="00EB2E29"/>
    <w:rsid w:val="00EB386D"/>
    <w:rsid w:val="00EB60AE"/>
    <w:rsid w:val="00EB6B99"/>
    <w:rsid w:val="00EB6CBE"/>
    <w:rsid w:val="00EC07C2"/>
    <w:rsid w:val="00EC75AC"/>
    <w:rsid w:val="00ED3EAC"/>
    <w:rsid w:val="00ED78AA"/>
    <w:rsid w:val="00EE2708"/>
    <w:rsid w:val="00EE2969"/>
    <w:rsid w:val="00EE629D"/>
    <w:rsid w:val="00EE7661"/>
    <w:rsid w:val="00EF6C06"/>
    <w:rsid w:val="00EF6FBA"/>
    <w:rsid w:val="00F023CF"/>
    <w:rsid w:val="00F14EE4"/>
    <w:rsid w:val="00F21FC0"/>
    <w:rsid w:val="00F22CD1"/>
    <w:rsid w:val="00F242D1"/>
    <w:rsid w:val="00F31C66"/>
    <w:rsid w:val="00F3235A"/>
    <w:rsid w:val="00F352AF"/>
    <w:rsid w:val="00F37E19"/>
    <w:rsid w:val="00F52291"/>
    <w:rsid w:val="00F525EE"/>
    <w:rsid w:val="00F56C1D"/>
    <w:rsid w:val="00F579EA"/>
    <w:rsid w:val="00F6079D"/>
    <w:rsid w:val="00F62306"/>
    <w:rsid w:val="00F62F5B"/>
    <w:rsid w:val="00F6764A"/>
    <w:rsid w:val="00F718E9"/>
    <w:rsid w:val="00F74569"/>
    <w:rsid w:val="00F80EEB"/>
    <w:rsid w:val="00F901FE"/>
    <w:rsid w:val="00F90CC2"/>
    <w:rsid w:val="00FA08E4"/>
    <w:rsid w:val="00FA0B2F"/>
    <w:rsid w:val="00FA4414"/>
    <w:rsid w:val="00FA6679"/>
    <w:rsid w:val="00FA7018"/>
    <w:rsid w:val="00FA7A67"/>
    <w:rsid w:val="00FB1934"/>
    <w:rsid w:val="00FB59DD"/>
    <w:rsid w:val="00FC288B"/>
    <w:rsid w:val="00FC5E2F"/>
    <w:rsid w:val="00FC7CC2"/>
    <w:rsid w:val="00FD1263"/>
    <w:rsid w:val="00FD12F2"/>
    <w:rsid w:val="00FD3A00"/>
    <w:rsid w:val="00FD580F"/>
    <w:rsid w:val="00FD724C"/>
    <w:rsid w:val="00FE15CC"/>
    <w:rsid w:val="00FE1870"/>
    <w:rsid w:val="00FE2D8F"/>
    <w:rsid w:val="00FE7338"/>
    <w:rsid w:val="00FE73FC"/>
    <w:rsid w:val="2A82C7C0"/>
    <w:rsid w:val="3703F0C6"/>
    <w:rsid w:val="48D9ECD3"/>
    <w:rsid w:val="501985DF"/>
    <w:rsid w:val="513062AB"/>
    <w:rsid w:val="562C04D9"/>
    <w:rsid w:val="62DB3399"/>
    <w:rsid w:val="79C93CF1"/>
    <w:rsid w:val="7A5A490D"/>
    <w:rsid w:val="7D43F40B"/>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6B275D"/>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6B275D"/>
    <w:rPr>
      <w:rFonts w:ascii="Verdana" w:hAnsi="Verdana" w:cs="Mangal"/>
      <w:sz w:val="20"/>
      <w:szCs w:val="18"/>
    </w:rPr>
  </w:style>
  <w:style w:type="character" w:styleId="Voetnootmarkering">
    <w:name w:val="footnote reference"/>
    <w:basedOn w:val="Standaardalinea-lettertype"/>
    <w:uiPriority w:val="99"/>
    <w:semiHidden/>
    <w:unhideWhenUsed/>
    <w:rsid w:val="006B275D"/>
    <w:rPr>
      <w:vertAlign w:val="superscript"/>
    </w:rPr>
  </w:style>
  <w:style w:type="paragraph" w:styleId="Revisie">
    <w:name w:val="Revision"/>
    <w:hidden/>
    <w:uiPriority w:val="99"/>
    <w:semiHidden/>
    <w:rsid w:val="008C54CE"/>
    <w:pPr>
      <w:widowControl/>
      <w:suppressAutoHyphens w:val="0"/>
      <w:autoSpaceDN/>
      <w:textAlignment w:val="auto"/>
    </w:pPr>
    <w:rPr>
      <w:rFonts w:ascii="Verdana" w:hAnsi="Verdana" w:cs="Mangal"/>
      <w:sz w:val="18"/>
      <w:szCs w:val="16"/>
    </w:rPr>
  </w:style>
  <w:style w:type="character" w:styleId="Verwijzingopmerking">
    <w:name w:val="annotation reference"/>
    <w:basedOn w:val="Standaardalinea-lettertype"/>
    <w:uiPriority w:val="99"/>
    <w:semiHidden/>
    <w:unhideWhenUsed/>
    <w:rsid w:val="00466084"/>
    <w:rPr>
      <w:sz w:val="16"/>
      <w:szCs w:val="16"/>
    </w:rPr>
  </w:style>
  <w:style w:type="paragraph" w:styleId="Tekstopmerking">
    <w:name w:val="annotation text"/>
    <w:basedOn w:val="Standaard"/>
    <w:link w:val="TekstopmerkingChar"/>
    <w:uiPriority w:val="99"/>
    <w:unhideWhenUsed/>
    <w:rsid w:val="00466084"/>
    <w:pPr>
      <w:spacing w:line="240" w:lineRule="auto"/>
    </w:pPr>
    <w:rPr>
      <w:rFonts w:cs="Mangal"/>
      <w:sz w:val="20"/>
    </w:rPr>
  </w:style>
  <w:style w:type="character" w:customStyle="1" w:styleId="TekstopmerkingChar">
    <w:name w:val="Tekst opmerking Char"/>
    <w:basedOn w:val="Standaardalinea-lettertype"/>
    <w:link w:val="Tekstopmerking"/>
    <w:uiPriority w:val="99"/>
    <w:rsid w:val="0046608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137D9"/>
    <w:rPr>
      <w:b/>
      <w:bCs/>
    </w:rPr>
  </w:style>
  <w:style w:type="character" w:customStyle="1" w:styleId="OnderwerpvanopmerkingChar">
    <w:name w:val="Onderwerp van opmerking Char"/>
    <w:basedOn w:val="TekstopmerkingChar"/>
    <w:link w:val="Onderwerpvanopmerking"/>
    <w:uiPriority w:val="99"/>
    <w:semiHidden/>
    <w:rsid w:val="00C137D9"/>
    <w:rPr>
      <w:rFonts w:ascii="Verdana" w:hAnsi="Verdana" w:cs="Mangal"/>
      <w:b/>
      <w:bCs/>
      <w:sz w:val="20"/>
      <w:szCs w:val="18"/>
    </w:rPr>
  </w:style>
  <w:style w:type="paragraph" w:styleId="Geenafstand">
    <w:name w:val="No Spacing"/>
    <w:uiPriority w:val="1"/>
    <w:qFormat/>
    <w:rsid w:val="001412EC"/>
    <w:pPr>
      <w:widowControl/>
      <w:suppressAutoHyphens w:val="0"/>
      <w:autoSpaceDN/>
      <w:textAlignment w:val="auto"/>
    </w:pPr>
    <w:rPr>
      <w:rFonts w:ascii="Verdana" w:eastAsiaTheme="minorHAnsi" w:hAnsi="Verdana" w:cstheme="minorBidi"/>
      <w:kern w:val="0"/>
      <w:sz w:val="18"/>
      <w:szCs w:val="22"/>
      <w:lang w:eastAsia="en-US" w:bidi="ar-SA"/>
    </w:rPr>
  </w:style>
  <w:style w:type="character" w:styleId="Hyperlink">
    <w:name w:val="Hyperlink"/>
    <w:basedOn w:val="Standaardalinea-lettertype"/>
    <w:uiPriority w:val="99"/>
    <w:unhideWhenUsed/>
    <w:rsid w:val="00860E2E"/>
    <w:rPr>
      <w:color w:val="0000FF" w:themeColor="hyperlink"/>
      <w:u w:val="single"/>
    </w:rPr>
  </w:style>
  <w:style w:type="character" w:customStyle="1" w:styleId="UnresolvedMention">
    <w:name w:val="Unresolved Mention"/>
    <w:basedOn w:val="Standaardalinea-lettertype"/>
    <w:uiPriority w:val="99"/>
    <w:semiHidden/>
    <w:unhideWhenUsed/>
    <w:rsid w:val="00860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076">
      <w:bodyDiv w:val="1"/>
      <w:marLeft w:val="0"/>
      <w:marRight w:val="0"/>
      <w:marTop w:val="0"/>
      <w:marBottom w:val="0"/>
      <w:divBdr>
        <w:top w:val="none" w:sz="0" w:space="0" w:color="auto"/>
        <w:left w:val="none" w:sz="0" w:space="0" w:color="auto"/>
        <w:bottom w:val="none" w:sz="0" w:space="0" w:color="auto"/>
        <w:right w:val="none" w:sz="0" w:space="0" w:color="auto"/>
      </w:divBdr>
    </w:div>
    <w:div w:id="13382410">
      <w:bodyDiv w:val="1"/>
      <w:marLeft w:val="0"/>
      <w:marRight w:val="0"/>
      <w:marTop w:val="0"/>
      <w:marBottom w:val="0"/>
      <w:divBdr>
        <w:top w:val="none" w:sz="0" w:space="0" w:color="auto"/>
        <w:left w:val="none" w:sz="0" w:space="0" w:color="auto"/>
        <w:bottom w:val="none" w:sz="0" w:space="0" w:color="auto"/>
        <w:right w:val="none" w:sz="0" w:space="0" w:color="auto"/>
      </w:divBdr>
    </w:div>
    <w:div w:id="13729780">
      <w:bodyDiv w:val="1"/>
      <w:marLeft w:val="0"/>
      <w:marRight w:val="0"/>
      <w:marTop w:val="0"/>
      <w:marBottom w:val="0"/>
      <w:divBdr>
        <w:top w:val="none" w:sz="0" w:space="0" w:color="auto"/>
        <w:left w:val="none" w:sz="0" w:space="0" w:color="auto"/>
        <w:bottom w:val="none" w:sz="0" w:space="0" w:color="auto"/>
        <w:right w:val="none" w:sz="0" w:space="0" w:color="auto"/>
      </w:divBdr>
    </w:div>
    <w:div w:id="126432714">
      <w:bodyDiv w:val="1"/>
      <w:marLeft w:val="0"/>
      <w:marRight w:val="0"/>
      <w:marTop w:val="0"/>
      <w:marBottom w:val="0"/>
      <w:divBdr>
        <w:top w:val="none" w:sz="0" w:space="0" w:color="auto"/>
        <w:left w:val="none" w:sz="0" w:space="0" w:color="auto"/>
        <w:bottom w:val="none" w:sz="0" w:space="0" w:color="auto"/>
        <w:right w:val="none" w:sz="0" w:space="0" w:color="auto"/>
      </w:divBdr>
    </w:div>
    <w:div w:id="213464736">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91247908">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90080036">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40170962">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20457186">
      <w:bodyDiv w:val="1"/>
      <w:marLeft w:val="0"/>
      <w:marRight w:val="0"/>
      <w:marTop w:val="0"/>
      <w:marBottom w:val="0"/>
      <w:divBdr>
        <w:top w:val="none" w:sz="0" w:space="0" w:color="auto"/>
        <w:left w:val="none" w:sz="0" w:space="0" w:color="auto"/>
        <w:bottom w:val="none" w:sz="0" w:space="0" w:color="auto"/>
        <w:right w:val="none" w:sz="0" w:space="0" w:color="auto"/>
      </w:divBdr>
    </w:div>
    <w:div w:id="765536557">
      <w:bodyDiv w:val="1"/>
      <w:marLeft w:val="0"/>
      <w:marRight w:val="0"/>
      <w:marTop w:val="0"/>
      <w:marBottom w:val="0"/>
      <w:divBdr>
        <w:top w:val="none" w:sz="0" w:space="0" w:color="auto"/>
        <w:left w:val="none" w:sz="0" w:space="0" w:color="auto"/>
        <w:bottom w:val="none" w:sz="0" w:space="0" w:color="auto"/>
        <w:right w:val="none" w:sz="0" w:space="0" w:color="auto"/>
      </w:divBdr>
    </w:div>
    <w:div w:id="788624172">
      <w:bodyDiv w:val="1"/>
      <w:marLeft w:val="0"/>
      <w:marRight w:val="0"/>
      <w:marTop w:val="0"/>
      <w:marBottom w:val="0"/>
      <w:divBdr>
        <w:top w:val="none" w:sz="0" w:space="0" w:color="auto"/>
        <w:left w:val="none" w:sz="0" w:space="0" w:color="auto"/>
        <w:bottom w:val="none" w:sz="0" w:space="0" w:color="auto"/>
        <w:right w:val="none" w:sz="0" w:space="0" w:color="auto"/>
      </w:divBdr>
    </w:div>
    <w:div w:id="800926873">
      <w:bodyDiv w:val="1"/>
      <w:marLeft w:val="0"/>
      <w:marRight w:val="0"/>
      <w:marTop w:val="0"/>
      <w:marBottom w:val="0"/>
      <w:divBdr>
        <w:top w:val="none" w:sz="0" w:space="0" w:color="auto"/>
        <w:left w:val="none" w:sz="0" w:space="0" w:color="auto"/>
        <w:bottom w:val="none" w:sz="0" w:space="0" w:color="auto"/>
        <w:right w:val="none" w:sz="0" w:space="0" w:color="auto"/>
      </w:divBdr>
    </w:div>
    <w:div w:id="877013569">
      <w:bodyDiv w:val="1"/>
      <w:marLeft w:val="0"/>
      <w:marRight w:val="0"/>
      <w:marTop w:val="0"/>
      <w:marBottom w:val="0"/>
      <w:divBdr>
        <w:top w:val="none" w:sz="0" w:space="0" w:color="auto"/>
        <w:left w:val="none" w:sz="0" w:space="0" w:color="auto"/>
        <w:bottom w:val="none" w:sz="0" w:space="0" w:color="auto"/>
        <w:right w:val="none" w:sz="0" w:space="0" w:color="auto"/>
      </w:divBdr>
    </w:div>
    <w:div w:id="1213418379">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24896398">
      <w:bodyDiv w:val="1"/>
      <w:marLeft w:val="0"/>
      <w:marRight w:val="0"/>
      <w:marTop w:val="0"/>
      <w:marBottom w:val="0"/>
      <w:divBdr>
        <w:top w:val="none" w:sz="0" w:space="0" w:color="auto"/>
        <w:left w:val="none" w:sz="0" w:space="0" w:color="auto"/>
        <w:bottom w:val="none" w:sz="0" w:space="0" w:color="auto"/>
        <w:right w:val="none" w:sz="0" w:space="0" w:color="auto"/>
      </w:divBdr>
    </w:div>
    <w:div w:id="1371610028">
      <w:bodyDiv w:val="1"/>
      <w:marLeft w:val="0"/>
      <w:marRight w:val="0"/>
      <w:marTop w:val="0"/>
      <w:marBottom w:val="0"/>
      <w:divBdr>
        <w:top w:val="none" w:sz="0" w:space="0" w:color="auto"/>
        <w:left w:val="none" w:sz="0" w:space="0" w:color="auto"/>
        <w:bottom w:val="none" w:sz="0" w:space="0" w:color="auto"/>
        <w:right w:val="none" w:sz="0" w:space="0" w:color="auto"/>
      </w:divBdr>
    </w:div>
    <w:div w:id="1501966688">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00991606">
      <w:bodyDiv w:val="1"/>
      <w:marLeft w:val="0"/>
      <w:marRight w:val="0"/>
      <w:marTop w:val="0"/>
      <w:marBottom w:val="0"/>
      <w:divBdr>
        <w:top w:val="none" w:sz="0" w:space="0" w:color="auto"/>
        <w:left w:val="none" w:sz="0" w:space="0" w:color="auto"/>
        <w:bottom w:val="none" w:sz="0" w:space="0" w:color="auto"/>
        <w:right w:val="none" w:sz="0" w:space="0" w:color="auto"/>
      </w:divBdr>
    </w:div>
    <w:div w:id="1607883208">
      <w:bodyDiv w:val="1"/>
      <w:marLeft w:val="0"/>
      <w:marRight w:val="0"/>
      <w:marTop w:val="0"/>
      <w:marBottom w:val="0"/>
      <w:divBdr>
        <w:top w:val="none" w:sz="0" w:space="0" w:color="auto"/>
        <w:left w:val="none" w:sz="0" w:space="0" w:color="auto"/>
        <w:bottom w:val="none" w:sz="0" w:space="0" w:color="auto"/>
        <w:right w:val="none" w:sz="0" w:space="0" w:color="auto"/>
      </w:divBdr>
    </w:div>
    <w:div w:id="1669215330">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47360241">
      <w:bodyDiv w:val="1"/>
      <w:marLeft w:val="0"/>
      <w:marRight w:val="0"/>
      <w:marTop w:val="0"/>
      <w:marBottom w:val="0"/>
      <w:divBdr>
        <w:top w:val="none" w:sz="0" w:space="0" w:color="auto"/>
        <w:left w:val="none" w:sz="0" w:space="0" w:color="auto"/>
        <w:bottom w:val="none" w:sz="0" w:space="0" w:color="auto"/>
        <w:right w:val="none" w:sz="0" w:space="0" w:color="auto"/>
      </w:divBdr>
    </w:div>
    <w:div w:id="1999649784">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4/08/kamerbrief-defensie-strategie-voor-industrie-en-innovati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F56974E09D4BB1878CB3A4D93FA8BD"/>
        <w:category>
          <w:name w:val="General"/>
          <w:gallery w:val="placeholder"/>
        </w:category>
        <w:types>
          <w:type w:val="bbPlcHdr"/>
        </w:types>
        <w:behaviors>
          <w:behavior w:val="content"/>
        </w:behaviors>
        <w:guid w:val="{63DF0E45-2748-4484-96FC-B0A648D72930}"/>
      </w:docPartPr>
      <w:docPartBody>
        <w:p w:rsidR="00447260" w:rsidRDefault="00447260">
          <w:pPr>
            <w:pStyle w:val="6CF56974E09D4BB1878CB3A4D93FA8BD"/>
          </w:pPr>
          <w:r w:rsidRPr="0059366F">
            <w:rPr>
              <w:rStyle w:val="Tekstvantijdelijkeaanduiding"/>
            </w:rPr>
            <w:t>Klik of tik om een datum in te voeren.</w:t>
          </w:r>
        </w:p>
      </w:docPartBody>
    </w:docPart>
    <w:docPart>
      <w:docPartPr>
        <w:name w:val="8F8B90E163A441AFB77D2CC8CCFCF647"/>
        <w:category>
          <w:name w:val="General"/>
          <w:gallery w:val="placeholder"/>
        </w:category>
        <w:types>
          <w:type w:val="bbPlcHdr"/>
        </w:types>
        <w:behaviors>
          <w:behavior w:val="content"/>
        </w:behaviors>
        <w:guid w:val="{A19AD4FA-9DB0-4669-920D-753F68901027}"/>
      </w:docPartPr>
      <w:docPartBody>
        <w:p w:rsidR="00447260" w:rsidRDefault="00447260">
          <w:pPr>
            <w:pStyle w:val="8F8B90E163A441AFB77D2CC8CCFCF647"/>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60"/>
    <w:rsid w:val="000214F3"/>
    <w:rsid w:val="0004084D"/>
    <w:rsid w:val="0010129C"/>
    <w:rsid w:val="001D3669"/>
    <w:rsid w:val="002D2211"/>
    <w:rsid w:val="00447260"/>
    <w:rsid w:val="0055306B"/>
    <w:rsid w:val="005B66E2"/>
    <w:rsid w:val="005E0107"/>
    <w:rsid w:val="00603BB5"/>
    <w:rsid w:val="006A0006"/>
    <w:rsid w:val="00702534"/>
    <w:rsid w:val="007E46C1"/>
    <w:rsid w:val="008504B9"/>
    <w:rsid w:val="008A3EC4"/>
    <w:rsid w:val="008C0C61"/>
    <w:rsid w:val="009B10DC"/>
    <w:rsid w:val="009B1428"/>
    <w:rsid w:val="009D7CBF"/>
    <w:rsid w:val="00AD6747"/>
    <w:rsid w:val="00AE2853"/>
    <w:rsid w:val="00B1104C"/>
    <w:rsid w:val="00B41807"/>
    <w:rsid w:val="00BB0640"/>
    <w:rsid w:val="00CE4166"/>
    <w:rsid w:val="00CF2BCF"/>
    <w:rsid w:val="00DA74A0"/>
    <w:rsid w:val="00EE322A"/>
    <w:rsid w:val="00F74900"/>
    <w:rsid w:val="00F83DB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6CF56974E09D4BB1878CB3A4D93FA8BD">
    <w:name w:val="6CF56974E09D4BB1878CB3A4D93FA8BD"/>
  </w:style>
  <w:style w:type="paragraph" w:customStyle="1" w:styleId="8F8B90E163A441AFB77D2CC8CCFCF647">
    <w:name w:val="8F8B90E163A441AFB77D2CC8CCFCF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4</ap:Pages>
  <ap:Words>1450</ap:Words>
  <ap:Characters>7977</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2026-01-20T15:49:00.0000000Z</dcterms:created>
  <dcterms:modified xsi:type="dcterms:W3CDTF">2026-01-20T15:51:00.0000000Z</dcterms:modified>
  <dc:description>------------------------</dc:description>
  <version/>
  <category/>
</coreProperties>
</file>