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0515" w:rsidR="00350515" w:rsidP="00350515" w:rsidRDefault="00350515" w14:paraId="2CCAEBCD" w14:textId="77777777">
      <w:pPr>
        <w:rPr>
          <w:b/>
          <w:bCs/>
        </w:rPr>
      </w:pPr>
      <w:r w:rsidRPr="00350515">
        <w:rPr>
          <w:b/>
          <w:bCs/>
        </w:rPr>
        <w:t>DEFINITIEF OVERZICHT COMMISSIE-REGELING VAN WERKZAAMHEDEN KLIMAAT EN GROENE GROEI:</w:t>
      </w:r>
    </w:p>
    <w:p w:rsidRPr="00350515" w:rsidR="00350515" w:rsidP="00350515" w:rsidRDefault="00350515" w14:paraId="7FC4DCED" w14:textId="77777777"/>
    <w:p w:rsidRPr="00350515" w:rsidR="00350515" w:rsidP="00350515" w:rsidRDefault="00350515" w14:paraId="3E5C7EE9" w14:textId="77777777">
      <w:pPr>
        <w:rPr>
          <w:b/>
          <w:bCs/>
        </w:rPr>
      </w:pPr>
      <w:r w:rsidRPr="00350515">
        <w:t>Dinsdag 20 januari 2026, bij aanvang procedurevergadering om</w:t>
      </w:r>
      <w:r w:rsidRPr="00350515">
        <w:rPr>
          <w:b/>
          <w:bCs/>
        </w:rPr>
        <w:t xml:space="preserve"> 17.00 uur.</w:t>
      </w:r>
    </w:p>
    <w:p w:rsidRPr="00350515" w:rsidR="00350515" w:rsidP="00350515" w:rsidRDefault="00350515" w14:paraId="7D7D9293" w14:textId="77777777">
      <w:pPr>
        <w:rPr>
          <w:b/>
          <w:bCs/>
        </w:rPr>
      </w:pPr>
    </w:p>
    <w:p w:rsidRPr="00350515" w:rsidR="00350515" w:rsidP="00350515" w:rsidRDefault="00350515" w14:paraId="556CFAC0" w14:textId="0201E94A">
      <w:pPr>
        <w:numPr>
          <w:ilvl w:val="0"/>
          <w:numId w:val="1"/>
        </w:numPr>
      </w:pPr>
      <w:r>
        <w:t>H</w:t>
      </w:r>
      <w:r w:rsidRPr="00350515">
        <w:t xml:space="preserve">et lid </w:t>
      </w:r>
      <w:r w:rsidRPr="00350515">
        <w:rPr>
          <w:b/>
          <w:bCs/>
        </w:rPr>
        <w:t>Peter de Groot</w:t>
      </w:r>
      <w:r w:rsidRPr="00350515">
        <w:t xml:space="preserve"> (VVD) - Verzoek van de leden Peter de Groot (VVD) en Jumelet (CDA) om zo spoedig mogelijk een hoorzitting te houden met de netbeheerders </w:t>
      </w:r>
      <w:proofErr w:type="spellStart"/>
      <w:r w:rsidRPr="00350515">
        <w:t>Alliander</w:t>
      </w:r>
      <w:proofErr w:type="spellEnd"/>
      <w:r w:rsidRPr="00350515">
        <w:t xml:space="preserve">, </w:t>
      </w:r>
      <w:proofErr w:type="spellStart"/>
      <w:r w:rsidRPr="00350515">
        <w:t>Enexis</w:t>
      </w:r>
      <w:proofErr w:type="spellEnd"/>
      <w:r w:rsidRPr="00350515">
        <w:t xml:space="preserve"> en </w:t>
      </w:r>
      <w:proofErr w:type="spellStart"/>
      <w:r w:rsidRPr="00350515">
        <w:t>Stedin</w:t>
      </w:r>
      <w:proofErr w:type="spellEnd"/>
      <w:r w:rsidRPr="00350515">
        <w:t xml:space="preserve"> over de slimme elektriciteitsmeters uit China</w:t>
      </w:r>
    </w:p>
    <w:p w:rsidRPr="00350515" w:rsidR="00350515" w:rsidP="00350515" w:rsidRDefault="00350515" w14:paraId="50DC8093" w14:textId="77777777"/>
    <w:p w:rsidRPr="00350515" w:rsidR="00350515" w:rsidP="00350515" w:rsidRDefault="00350515" w14:paraId="363D65AA" w14:textId="4DCFD324">
      <w:pPr>
        <w:numPr>
          <w:ilvl w:val="0"/>
          <w:numId w:val="2"/>
        </w:numPr>
      </w:pPr>
      <w:r>
        <w:t>H</w:t>
      </w:r>
      <w:r w:rsidRPr="00350515">
        <w:t xml:space="preserve">et lid </w:t>
      </w:r>
      <w:r w:rsidRPr="00350515">
        <w:rPr>
          <w:b/>
          <w:bCs/>
        </w:rPr>
        <w:t>Van den Berg</w:t>
      </w:r>
      <w:r w:rsidRPr="00350515">
        <w:t xml:space="preserve"> (JA21) - Verzoek om een kabinetsreactie te vragen op de door de Industriecoalitie aan de Kamer aangeboden petitie inzake “Gelijk speelveld energie-intensieve industrie in Europa” t.b.v. het commissiedebat Klimaat en energie (algemeen) op 28 januari 2026, waarbij de minister wordt verzocht in elk geval in te gaan op: a) het gestelde gebrek aan een gelijk Europees speelveld in de totale elektriciteitskosten (incl. nettarieven/heffingen/belastingen) t.o.v. buurlanden; b) welke instrumenten binnen EU-kaders het kabinet kan en wil inzetten om dit speelveld te verbeteren (o.a. benutting bestaande EU-ruimte en eventuele nationale keuzes rond nettarieven/lastenverdeling), inclusief tijdpad en budgettaire consequenties: en c) hoe dit zich verhoudt tot lopend beleid rond netcongestie, elektrificatie, maatwerkafspraken en industrieel concurrentievermogen.</w:t>
      </w:r>
    </w:p>
    <w:p w:rsidRPr="00350515" w:rsidR="00350515" w:rsidP="00350515" w:rsidRDefault="00350515" w14:paraId="6C71F190" w14:textId="77777777"/>
    <w:p w:rsidR="00B37094" w:rsidP="00350515" w:rsidRDefault="00350515" w14:paraId="07DBAD74" w14:textId="0204EE6B">
      <w:pPr>
        <w:numPr>
          <w:ilvl w:val="0"/>
          <w:numId w:val="1"/>
        </w:numPr>
      </w:pPr>
      <w:r w:rsidRPr="00350515">
        <w:t xml:space="preserve">Het lid </w:t>
      </w:r>
      <w:r w:rsidRPr="00350515">
        <w:rPr>
          <w:b/>
          <w:bCs/>
        </w:rPr>
        <w:t xml:space="preserve">Kröger </w:t>
      </w:r>
      <w:r w:rsidRPr="00350515">
        <w:t>(GroenLinks-PvdA)- Verzoek om een technische briefing van het ACM naar aanleiding van het NOS-artikel “</w:t>
      </w:r>
      <w:hyperlink w:history="1" r:id="rId5">
        <w:r w:rsidRPr="00350515">
          <w:rPr>
            <w:rStyle w:val="Hyperlink"/>
          </w:rPr>
          <w:t>ACM onderzoekt prijzen van vier leveranciers van stadswarmte</w:t>
        </w:r>
      </w:hyperlink>
      <w:r w:rsidRPr="00350515">
        <w:t>”.</w:t>
      </w:r>
    </w:p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360C9"/>
    <w:multiLevelType w:val="multilevel"/>
    <w:tmpl w:val="B82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DF7C6B"/>
    <w:multiLevelType w:val="hybridMultilevel"/>
    <w:tmpl w:val="E876B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19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24431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15"/>
    <w:rsid w:val="00350515"/>
    <w:rsid w:val="00482089"/>
    <w:rsid w:val="006F6E77"/>
    <w:rsid w:val="00B37094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F9E"/>
  <w15:chartTrackingRefBased/>
  <w15:docId w15:val="{D840BC18-3DCC-48AA-AA18-93C631A9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0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0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0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0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0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0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0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0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0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05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05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05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05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05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05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0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0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05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05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05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0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05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05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5051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0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nos.nl%2Fartikel%2F2598137-acm-onderzoekt-prijzen-van-vier-leveranciers-van-stadswarmte%3Futm_medium%3Dsocial%26utm_source%3Dbluesky&amp;data=05%7C02%7CD.Nava%40tweedekamer.nl%7Ccbf2024878a94225224608de5826af40%7C238cb5073f714afeaaab8382731a4345%7C0%7C0%7C639045120372882820%7CUnknown%7CTWFpbGZsb3d8eyJFbXB0eU1hcGkiOnRydWUsIlYiOiIwLjAuMDAwMCIsIlAiOiJXaW4zMiIsIkFOIjoiTWFpbCIsIldUIjoyfQ%3D%3D%7C0%7C%7C%7C&amp;sdata=Q%2Baoogp8RiO1Mt%2F3tOmmqIJdo5Ja3FOIMh4HaPq0OW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1694</ap:Characters>
  <ap:DocSecurity>0</ap:DocSecurity>
  <ap:Lines>14</ap:Lines>
  <ap:Paragraphs>3</ap:Paragraphs>
  <ap:ScaleCrop>false</ap:ScaleCrop>
  <ap:LinksUpToDate>false</ap:LinksUpToDate>
  <ap:CharactersWithSpaces>1999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2026-01-20T13:24:00.0000000Z</dcterms:created>
  <dcterms:modified xsi:type="dcterms:W3CDTF">2026-01-20T13:25:00.0000000Z</dcterms:modified>
  <version/>
  <category/>
</coreProperties>
</file>