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705" w:rsidP="00634705" w:rsidRDefault="00634705" w14:paraId="502EFA76" w14:textId="77777777">
      <w:pPr>
        <w:rPr>
          <w:b/>
          <w:bCs/>
          <w:highlight w:val="yellow"/>
        </w:rPr>
      </w:pPr>
      <w:r w:rsidRPr="320BC4F7">
        <w:rPr>
          <w:b/>
          <w:bCs/>
          <w:sz w:val="22"/>
        </w:rPr>
        <w:t>Lijst van nieuwe EU-voorstellen</w:t>
      </w:r>
      <w:r>
        <w:tab/>
      </w:r>
      <w:r>
        <w:tab/>
      </w:r>
      <w:r>
        <w:tab/>
      </w:r>
    </w:p>
    <w:p w:rsidR="00634705" w:rsidP="00634705" w:rsidRDefault="00634705" w14:paraId="354B5C48" w14:textId="77777777">
      <w:pPr>
        <w:pStyle w:val="PlatteTekst"/>
      </w:pPr>
    </w:p>
    <w:p w:rsidR="00634705" w:rsidP="00634705" w:rsidRDefault="00634705" w14:paraId="272000B6" w14:textId="5A277D7B">
      <w:pPr>
        <w:rPr>
          <w:szCs w:val="18"/>
        </w:rPr>
      </w:pPr>
      <w:r w:rsidRPr="769B3972">
        <w:rPr>
          <w:szCs w:val="18"/>
        </w:rPr>
        <w:t>De</w:t>
      </w:r>
      <w:r w:rsidRPr="769B3972">
        <w:rPr>
          <w:b/>
          <w:bCs/>
          <w:szCs w:val="18"/>
        </w:rPr>
        <w:t xml:space="preserve"> </w:t>
      </w:r>
      <w:r w:rsidRPr="769B3972">
        <w:rPr>
          <w:szCs w:val="18"/>
        </w:rPr>
        <w:t xml:space="preserve">Europese Commissie heeft in de periode tussen </w:t>
      </w:r>
      <w:r w:rsidR="009945EE">
        <w:rPr>
          <w:b/>
          <w:bCs/>
          <w:szCs w:val="18"/>
        </w:rPr>
        <w:t>15</w:t>
      </w:r>
      <w:r>
        <w:rPr>
          <w:b/>
          <w:bCs/>
          <w:szCs w:val="18"/>
        </w:rPr>
        <w:t xml:space="preserve"> </w:t>
      </w:r>
      <w:r w:rsidR="009945EE">
        <w:rPr>
          <w:b/>
          <w:bCs/>
          <w:szCs w:val="18"/>
        </w:rPr>
        <w:t xml:space="preserve">december </w:t>
      </w:r>
      <w:proofErr w:type="gramStart"/>
      <w:r w:rsidRPr="769B3972">
        <w:rPr>
          <w:b/>
          <w:bCs/>
          <w:szCs w:val="18"/>
        </w:rPr>
        <w:t xml:space="preserve">en </w:t>
      </w:r>
      <w:r>
        <w:rPr>
          <w:b/>
          <w:bCs/>
          <w:szCs w:val="18"/>
        </w:rPr>
        <w:t xml:space="preserve"> </w:t>
      </w:r>
      <w:r w:rsidR="009945EE">
        <w:rPr>
          <w:b/>
          <w:bCs/>
          <w:szCs w:val="18"/>
        </w:rPr>
        <w:t>12</w:t>
      </w:r>
      <w:proofErr w:type="gramEnd"/>
      <w:r w:rsidR="009945EE">
        <w:rPr>
          <w:b/>
          <w:bCs/>
          <w:szCs w:val="18"/>
        </w:rPr>
        <w:t xml:space="preserve"> januari </w:t>
      </w:r>
      <w:r w:rsidRPr="769B3972">
        <w:rPr>
          <w:b/>
          <w:bCs/>
          <w:szCs w:val="18"/>
        </w:rPr>
        <w:t>202</w:t>
      </w:r>
      <w:r w:rsidR="009945EE">
        <w:rPr>
          <w:b/>
          <w:bCs/>
          <w:szCs w:val="18"/>
        </w:rPr>
        <w:t>6</w:t>
      </w:r>
      <w:r w:rsidRPr="769B3972">
        <w:rPr>
          <w:szCs w:val="18"/>
        </w:rPr>
        <w:t xml:space="preserve"> de volgende voor deze vaste commissie</w:t>
      </w:r>
      <w:r w:rsidRPr="769B3972">
        <w:rPr>
          <w:b/>
          <w:bCs/>
          <w:szCs w:val="18"/>
        </w:rPr>
        <w:t xml:space="preserve"> </w:t>
      </w:r>
      <w:r w:rsidRPr="769B3972">
        <w:rPr>
          <w:szCs w:val="18"/>
        </w:rPr>
        <w:t>relevante voorstellen voor Europese wetgeving, besluiten en andere beleidsvormende documenten aan de Tweede Kamer gestuurd</w:t>
      </w:r>
      <w:r w:rsidRPr="769B3972">
        <w:rPr>
          <w:rStyle w:val="Voetnootmarkering"/>
          <w:szCs w:val="18"/>
        </w:rPr>
        <w:footnoteReference w:id="1"/>
      </w:r>
      <w:r w:rsidRPr="769B3972">
        <w:rPr>
          <w:szCs w:val="18"/>
        </w:rPr>
        <w:t xml:space="preserve">: </w:t>
      </w:r>
    </w:p>
    <w:p w:rsidR="00634705" w:rsidP="00634705" w:rsidRDefault="00634705" w14:paraId="11C815B2" w14:textId="77777777">
      <w:pPr>
        <w:rPr>
          <w:szCs w:val="18"/>
        </w:rPr>
      </w:pPr>
    </w:p>
    <w:p w:rsidRPr="00901460" w:rsidR="00634705" w:rsidP="00634705" w:rsidRDefault="00634705" w14:paraId="43F4FD65"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901460" w:rsidR="00634705" w:rsidP="00634705" w:rsidRDefault="00634705" w14:paraId="28A9DA38" w14:textId="77777777">
      <w:pPr>
        <w:rPr>
          <w:b/>
          <w:szCs w:val="18"/>
        </w:rPr>
      </w:pPr>
    </w:p>
    <w:tbl>
      <w:tblPr>
        <w:tblW w:w="421" w:type="dxa"/>
        <w:tblInd w:w="10" w:type="dxa"/>
        <w:tblCellMar>
          <w:left w:w="0" w:type="dxa"/>
          <w:right w:w="0" w:type="dxa"/>
        </w:tblCellMar>
        <w:tblLook w:val="04A0" w:firstRow="1" w:lastRow="0" w:firstColumn="1" w:lastColumn="0" w:noHBand="0" w:noVBand="1"/>
      </w:tblPr>
      <w:tblGrid>
        <w:gridCol w:w="421"/>
      </w:tblGrid>
      <w:tr w:rsidR="00634705" w:rsidTr="00526A45" w14:paraId="0E9EB72B" w14:textId="77777777">
        <w:trPr>
          <w:trHeight w:val="413"/>
        </w:trPr>
        <w:tc>
          <w:tcPr>
            <w:tcW w:w="421" w:type="dxa"/>
            <w:vMerge w:val="restart"/>
            <w:vAlign w:val="center"/>
            <w:hideMark/>
          </w:tcPr>
          <w:p w:rsidRPr="006B0017" w:rsidR="00634705" w:rsidP="00526A45" w:rsidRDefault="00634705" w14:paraId="1725579C" w14:textId="77777777">
            <w:pPr>
              <w:rPr>
                <w:rFonts w:eastAsiaTheme="minorHAnsi"/>
                <w:szCs w:val="18"/>
              </w:rPr>
            </w:pPr>
          </w:p>
        </w:tc>
      </w:tr>
      <w:tr w:rsidRPr="00872D5A" w:rsidR="00634705" w:rsidTr="00526A45" w14:paraId="7A836202" w14:textId="77777777">
        <w:trPr>
          <w:trHeight w:val="413"/>
        </w:trPr>
        <w:tc>
          <w:tcPr>
            <w:tcW w:w="421" w:type="dxa"/>
            <w:vMerge/>
            <w:vAlign w:val="center"/>
            <w:hideMark/>
          </w:tcPr>
          <w:p w:rsidR="00634705" w:rsidP="00526A45" w:rsidRDefault="00634705" w14:paraId="79E5A8A3" w14:textId="77777777">
            <w:pPr>
              <w:rPr>
                <w:rFonts w:eastAsiaTheme="minorHAnsi"/>
                <w:szCs w:val="18"/>
              </w:rPr>
            </w:pPr>
          </w:p>
        </w:tc>
      </w:tr>
    </w:tbl>
    <w:p w:rsidRPr="00E02D08" w:rsidR="00634705" w:rsidP="00634705" w:rsidRDefault="00634705" w14:paraId="1D53DD0A" w14:textId="77777777">
      <w:pPr>
        <w:rPr>
          <w:szCs w:val="18"/>
        </w:rPr>
      </w:pPr>
    </w:p>
    <w:p w:rsidRPr="006A56CA" w:rsidR="00634705" w:rsidP="00634705" w:rsidRDefault="00634705" w14:paraId="35539B48" w14:textId="77777777">
      <w:pPr>
        <w:pStyle w:val="Lijstalinea"/>
        <w:numPr>
          <w:ilvl w:val="0"/>
          <w:numId w:val="1"/>
        </w:numPr>
        <w:rPr>
          <w:b/>
          <w:szCs w:val="18"/>
        </w:rPr>
      </w:pPr>
      <w:r w:rsidRPr="597C7B67">
        <w:rPr>
          <w:b/>
          <w:bCs/>
        </w:rPr>
        <w:t xml:space="preserve">Nieuwe EU-documenten van niet-wetgevende aard </w:t>
      </w:r>
      <w:r>
        <w:br/>
        <w:t>(Mededelingen, aanbevelingen, actieplannen, consultaties, etc.)</w:t>
      </w:r>
    </w:p>
    <w:p w:rsidR="00634705" w:rsidP="00634705" w:rsidRDefault="00634705" w14:paraId="6378DA0B" w14:textId="77777777">
      <w:pPr>
        <w:rPr>
          <w:b/>
          <w:szCs w:val="18"/>
        </w:rPr>
      </w:pPr>
    </w:p>
    <w:p w:rsidR="00634705" w:rsidP="00634705" w:rsidRDefault="00634705" w14:paraId="2E51BD60"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634705" w:rsidTr="00526A45" w14:paraId="008EFFB8"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634705" w:rsidP="00526A45" w:rsidRDefault="00634705" w14:paraId="10DADC80"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634705" w:rsidP="00526A45" w:rsidRDefault="00634705" w14:paraId="3749DF0F"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634705" w:rsidP="005034AE" w:rsidRDefault="005034AE" w14:paraId="146F30FB" w14:textId="77777777">
            <w:r w:rsidRPr="005034AE">
              <w:t xml:space="preserve">Aanbeveling voor een BESLUIT VAN DE RAAD betreffende het openen van onderhandelingen over de wijziging van de Overeenkomst van 2018 in de vorm van een briefwisseling tussen de Europese Unie en het Koninkrijk Marokko </w:t>
            </w:r>
            <w:hyperlink w:history="1" r:id="rId12">
              <w:r w:rsidRPr="005034AE">
                <w:rPr>
                  <w:rStyle w:val="Hyperlink"/>
                </w:rPr>
                <w:t>COM(2025)446</w:t>
              </w:r>
            </w:hyperlink>
          </w:p>
          <w:p w:rsidRPr="00E303D0" w:rsidR="00005C4C" w:rsidP="005034AE" w:rsidRDefault="00005C4C" w14:paraId="0215273D" w14:textId="0AF816D3"/>
        </w:tc>
      </w:tr>
      <w:tr w:rsidR="00634705" w:rsidTr="00526A45" w14:paraId="4057C30F" w14:textId="77777777">
        <w:trPr>
          <w:trHeight w:val="300"/>
        </w:trPr>
        <w:tc>
          <w:tcPr>
            <w:tcW w:w="421" w:type="dxa"/>
            <w:vMerge/>
          </w:tcPr>
          <w:p w:rsidRPr="00E303D0" w:rsidR="00634705" w:rsidP="00526A45" w:rsidRDefault="00634705" w14:paraId="08F4DDF0" w14:textId="77777777"/>
        </w:tc>
        <w:tc>
          <w:tcPr>
            <w:tcW w:w="1125" w:type="dxa"/>
            <w:tcMar>
              <w:top w:w="0" w:type="dxa"/>
              <w:left w:w="108" w:type="dxa"/>
              <w:bottom w:w="0" w:type="dxa"/>
              <w:right w:w="108" w:type="dxa"/>
            </w:tcMar>
          </w:tcPr>
          <w:p w:rsidR="00634705" w:rsidP="00526A45" w:rsidRDefault="00634705" w14:paraId="34F2EB1E"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634705" w:rsidP="00526A45" w:rsidRDefault="00005C4C" w14:paraId="6632A7AF" w14:textId="6A3BC920">
            <w:pPr>
              <w:spacing w:after="240"/>
              <w:rPr>
                <w:rFonts w:eastAsia="Verdana" w:cs="Verdana"/>
              </w:rPr>
            </w:pPr>
            <w:r>
              <w:rPr>
                <w:rFonts w:eastAsia="Verdana" w:cs="Verdana"/>
              </w:rPr>
              <w:t>Ter informatie</w:t>
            </w:r>
          </w:p>
        </w:tc>
      </w:tr>
      <w:tr w:rsidR="00634705" w:rsidTr="00526A45" w14:paraId="40B2A181" w14:textId="77777777">
        <w:trPr>
          <w:trHeight w:val="300"/>
        </w:trPr>
        <w:tc>
          <w:tcPr>
            <w:tcW w:w="421" w:type="dxa"/>
            <w:vMerge/>
          </w:tcPr>
          <w:p w:rsidR="00634705" w:rsidP="00526A45" w:rsidRDefault="00634705" w14:paraId="01E2F22A"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634705" w:rsidP="00526A45" w:rsidRDefault="00634705" w14:paraId="7A70F551"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634705" w:rsidP="005034AE" w:rsidRDefault="009C6080" w14:paraId="02C7A932" w14:textId="77172256">
            <w:pPr>
              <w:shd w:val="clear" w:color="auto" w:fill="FFFFFF" w:themeFill="background1"/>
              <w:rPr>
                <w:rFonts w:eastAsia="Verdana" w:cs="Verdana"/>
              </w:rPr>
            </w:pPr>
            <w:r w:rsidRPr="009C6080">
              <w:rPr>
                <w:rFonts w:eastAsia="Verdana" w:cs="Verdana"/>
              </w:rPr>
              <w:t xml:space="preserve">Dit document is een aanbeveling van de Europese Commissie om de Raad te machtigen onderhandelingen te openen met Marokko over de wijziging van de overeenkomst uit 2018, zodat de </w:t>
            </w:r>
            <w:proofErr w:type="gramStart"/>
            <w:r w:rsidRPr="009C6080">
              <w:rPr>
                <w:rFonts w:eastAsia="Verdana" w:cs="Verdana"/>
              </w:rPr>
              <w:t>EU tariefpreferenties</w:t>
            </w:r>
            <w:proofErr w:type="gramEnd"/>
            <w:r w:rsidRPr="009C6080">
              <w:rPr>
                <w:rFonts w:eastAsia="Verdana" w:cs="Verdana"/>
              </w:rPr>
              <w:t xml:space="preserve"> kan blijven toekennen aan goederen uit de Westelijke Sahara in lijn met recente uitspraken van het Hof van Justitie. Het doel is de overeenkomst juridisch aan te passen zodat zij de instemming van het </w:t>
            </w:r>
            <w:proofErr w:type="spellStart"/>
            <w:r w:rsidRPr="009C6080">
              <w:rPr>
                <w:rFonts w:eastAsia="Verdana" w:cs="Verdana"/>
              </w:rPr>
              <w:t>Saharawi</w:t>
            </w:r>
            <w:proofErr w:type="spellEnd"/>
            <w:r w:rsidRPr="009C6080">
              <w:rPr>
                <w:rFonts w:eastAsia="Verdana" w:cs="Verdana"/>
              </w:rPr>
              <w:t>-volk veronderstelt onder strikte voorwaarden (geen verplichtingen voor dat volk, aantoonbare voordelen en duurzame exploitatie), terwijl handelsstromen en economische stabiliteit in het gebied worden behouden</w:t>
            </w:r>
          </w:p>
        </w:tc>
      </w:tr>
    </w:tbl>
    <w:p w:rsidRPr="00193A2B" w:rsidR="00634705" w:rsidP="00634705" w:rsidRDefault="00634705" w14:paraId="1FEAB081" w14:textId="77777777">
      <w:pPr>
        <w:rPr>
          <w:bCs/>
          <w:szCs w:val="18"/>
        </w:rPr>
      </w:pPr>
    </w:p>
    <w:p w:rsidR="00634705" w:rsidP="00634705" w:rsidRDefault="00634705" w14:paraId="0981F8CB" w14:textId="77777777">
      <w:pPr>
        <w:rPr>
          <w:b/>
          <w:bCs/>
          <w:szCs w:val="18"/>
        </w:rPr>
      </w:pPr>
    </w:p>
    <w:sectPr w:rsidR="00634705" w:rsidSect="00634705">
      <w:headerReference w:type="default" r:id="rId13"/>
      <w:pgSz w:w="11906" w:h="16838"/>
      <w:pgMar w:top="1417" w:right="1417" w:bottom="1417" w:left="1417" w:header="2370"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FF0F" w14:textId="77777777" w:rsidR="00634705" w:rsidRDefault="00634705" w:rsidP="00634705">
      <w:r>
        <w:separator/>
      </w:r>
    </w:p>
  </w:endnote>
  <w:endnote w:type="continuationSeparator" w:id="0">
    <w:p w14:paraId="31715530" w14:textId="77777777" w:rsidR="00634705" w:rsidRDefault="00634705" w:rsidP="0063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40AC" w14:textId="77777777" w:rsidR="00634705" w:rsidRDefault="00634705" w:rsidP="00634705">
      <w:r>
        <w:separator/>
      </w:r>
    </w:p>
  </w:footnote>
  <w:footnote w:type="continuationSeparator" w:id="0">
    <w:p w14:paraId="7801A752" w14:textId="77777777" w:rsidR="00634705" w:rsidRDefault="00634705" w:rsidP="00634705">
      <w:r>
        <w:continuationSeparator/>
      </w:r>
    </w:p>
  </w:footnote>
  <w:footnote w:id="1">
    <w:p w14:paraId="6B79886F" w14:textId="77777777" w:rsidR="00634705" w:rsidRPr="002B21B2" w:rsidRDefault="00634705" w:rsidP="00634705">
      <w:pPr>
        <w:pStyle w:val="Voetnoottekst"/>
        <w:rPr>
          <w:rFonts w:ascii="Verdana" w:hAnsi="Verdana"/>
        </w:rPr>
      </w:pPr>
      <w:r w:rsidRPr="4FDDB90E">
        <w:rPr>
          <w:rStyle w:val="Voetnootmarkering"/>
          <w:rFonts w:ascii="Verdana" w:eastAsia="Verdana" w:hAnsi="Verdana" w:cs="Verdana"/>
          <w:sz w:val="14"/>
          <w:szCs w:val="14"/>
        </w:rPr>
        <w:footnoteRef/>
      </w:r>
      <w:r w:rsidRPr="4FDDB90E">
        <w:rPr>
          <w:rFonts w:ascii="Verdana" w:eastAsia="Verdana" w:hAnsi="Verdana" w:cs="Verdana"/>
          <w:sz w:val="14"/>
          <w:szCs w:val="14"/>
        </w:rPr>
        <w:t xml:space="preserve">Voor een overzicht van behandelopties per type EU-voorstel, zie </w:t>
      </w:r>
      <w:hyperlink r:id="rId1" w:history="1">
        <w:r w:rsidRPr="4FDDB90E">
          <w:rPr>
            <w:rStyle w:val="Hyperlink"/>
            <w:rFonts w:ascii="Verdana" w:eastAsia="Verdana" w:hAnsi="Verdana" w:cs="Verdana"/>
            <w:sz w:val="14"/>
            <w:szCs w:val="14"/>
          </w:rPr>
          <w:t>dit overzicht op Plein2</w:t>
        </w:r>
      </w:hyperlink>
      <w:r w:rsidRPr="4FDDB90E">
        <w:rPr>
          <w:rFonts w:ascii="Verdana" w:eastAsia="Verdana" w:hAnsi="Verdana" w:cs="Verdana"/>
          <w:sz w:val="14"/>
          <w:szCs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5A33" w14:textId="77777777" w:rsidR="00634705" w:rsidRDefault="00634705">
    <w:pPr>
      <w:pStyle w:val="Koptekst"/>
    </w:pPr>
    <w:r>
      <w:rPr>
        <w:noProof/>
      </w:rPr>
      <mc:AlternateContent>
        <mc:Choice Requires="wps">
          <w:drawing>
            <wp:anchor distT="45720" distB="45720" distL="114300" distR="114300" simplePos="0" relativeHeight="251661312" behindDoc="0" locked="0" layoutInCell="1" allowOverlap="1" wp14:anchorId="06C4D866" wp14:editId="48AE701C">
              <wp:simplePos x="0" y="0"/>
              <wp:positionH relativeFrom="column">
                <wp:posOffset>4542155</wp:posOffset>
              </wp:positionH>
              <wp:positionV relativeFrom="paragraph">
                <wp:posOffset>-755650</wp:posOffset>
              </wp:positionV>
              <wp:extent cx="1854200" cy="74485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44855"/>
                      </a:xfrm>
                      <a:prstGeom prst="rect">
                        <a:avLst/>
                      </a:prstGeom>
                      <a:solidFill>
                        <a:srgbClr val="FFFFFF"/>
                      </a:solidFill>
                      <a:ln w="9525">
                        <a:noFill/>
                        <a:miter lim="800000"/>
                        <a:headEnd/>
                        <a:tailEnd/>
                      </a:ln>
                    </wps:spPr>
                    <wps:txbx>
                      <w:txbxContent>
                        <w:p w14:paraId="307401B0" w14:textId="77777777" w:rsidR="00634705" w:rsidRDefault="00634705">
                          <w:r>
                            <w:t>Commissie BHO</w:t>
                          </w:r>
                        </w:p>
                        <w:p w14:paraId="6D717E0C" w14:textId="77777777" w:rsidR="00634705" w:rsidRDefault="00634705">
                          <w:r>
                            <w:t>15-12-2025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4D866" id="_x0000_t202" coordsize="21600,21600" o:spt="202" path="m,l,21600r21600,l21600,xe">
              <v:stroke joinstyle="miter"/>
              <v:path gradientshapeok="t" o:connecttype="rect"/>
            </v:shapetype>
            <v:shape id="Tekstvak 2" o:spid="_x0000_s1026" type="#_x0000_t202" style="position:absolute;margin-left:357.65pt;margin-top:-59.5pt;width:146pt;height:5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" stroked="f">
              <v:textbox>
                <w:txbxContent>
                  <w:p w14:paraId="307401B0" w14:textId="77777777" w:rsidR="00634705" w:rsidRDefault="00634705">
                    <w:r>
                      <w:t>Commissie BHO</w:t>
                    </w:r>
                  </w:p>
                  <w:p w14:paraId="6D717E0C" w14:textId="77777777" w:rsidR="00634705" w:rsidRDefault="00634705">
                    <w:r>
                      <w:t>15-12-2025</w:t>
                    </w:r>
                  </w:p>
                </w:txbxContent>
              </v:textbox>
              <w10:wrap type="square"/>
            </v:shape>
          </w:pict>
        </mc:Fallback>
      </mc:AlternateContent>
    </w:r>
    <w:r w:rsidRPr="00024610">
      <w:rPr>
        <w:noProof/>
      </w:rPr>
      <w:drawing>
        <wp:anchor distT="0" distB="0" distL="114300" distR="114300" simplePos="0" relativeHeight="251659264" behindDoc="1" locked="0" layoutInCell="1" allowOverlap="1" wp14:anchorId="670FBEB5" wp14:editId="62140C1B">
          <wp:simplePos x="0" y="0"/>
          <wp:positionH relativeFrom="column">
            <wp:posOffset>73025</wp:posOffset>
          </wp:positionH>
          <wp:positionV relativeFrom="paragraph">
            <wp:posOffset>-1196975</wp:posOffset>
          </wp:positionV>
          <wp:extent cx="1624965" cy="655955"/>
          <wp:effectExtent l="0" t="0" r="0" b="0"/>
          <wp:wrapTight wrapText="bothSides">
            <wp:wrapPolygon edited="0">
              <wp:start x="0" y="0"/>
              <wp:lineTo x="0" y="20701"/>
              <wp:lineTo x="21271" y="20701"/>
              <wp:lineTo x="21271" y="0"/>
              <wp:lineTo x="0" y="0"/>
            </wp:wrapPolygon>
          </wp:wrapTight>
          <wp:docPr id="3896146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655955"/>
                  </a:xfrm>
                  <a:prstGeom prst="rect">
                    <a:avLst/>
                  </a:prstGeom>
                  <a:noFill/>
                  <a:ln>
                    <a:noFill/>
                  </a:ln>
                </pic:spPr>
              </pic:pic>
            </a:graphicData>
          </a:graphic>
        </wp:anchor>
      </w:drawing>
    </w:r>
    <w:r w:rsidRPr="00024610">
      <w:rPr>
        <w:noProof/>
      </w:rPr>
      <w:drawing>
        <wp:anchor distT="0" distB="0" distL="114300" distR="114300" simplePos="0" relativeHeight="251660288" behindDoc="1" locked="0" layoutInCell="1" allowOverlap="1" wp14:anchorId="3621464B" wp14:editId="359286F6">
          <wp:simplePos x="0" y="0"/>
          <wp:positionH relativeFrom="column">
            <wp:posOffset>-457200</wp:posOffset>
          </wp:positionH>
          <wp:positionV relativeFrom="paragraph">
            <wp:posOffset>-1257935</wp:posOffset>
          </wp:positionV>
          <wp:extent cx="387985" cy="1097280"/>
          <wp:effectExtent l="0" t="0" r="0" b="7620"/>
          <wp:wrapTight wrapText="bothSides">
            <wp:wrapPolygon edited="0">
              <wp:start x="0" y="0"/>
              <wp:lineTo x="0" y="21375"/>
              <wp:lineTo x="20151" y="21375"/>
              <wp:lineTo x="20151" y="0"/>
              <wp:lineTo x="0" y="0"/>
            </wp:wrapPolygon>
          </wp:wrapTight>
          <wp:docPr id="12123455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98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865258CC"/>
    <w:lvl w:ilvl="0" w:tplc="3D1EFF72">
      <w:start w:val="1"/>
      <w:numFmt w:val="decimal"/>
      <w:lvlText w:val="%1."/>
      <w:lvlJc w:val="left"/>
      <w:pPr>
        <w:ind w:left="501" w:hanging="360"/>
      </w:pPr>
    </w:lvl>
    <w:lvl w:ilvl="1" w:tplc="877AC7A0" w:tentative="1">
      <w:start w:val="1"/>
      <w:numFmt w:val="lowerLetter"/>
      <w:lvlText w:val="%2."/>
      <w:lvlJc w:val="left"/>
      <w:pPr>
        <w:ind w:left="1440" w:hanging="360"/>
      </w:pPr>
    </w:lvl>
    <w:lvl w:ilvl="2" w:tplc="FDC05BE8" w:tentative="1">
      <w:start w:val="1"/>
      <w:numFmt w:val="lowerRoman"/>
      <w:lvlText w:val="%3."/>
      <w:lvlJc w:val="right"/>
      <w:pPr>
        <w:ind w:left="2160" w:hanging="180"/>
      </w:pPr>
    </w:lvl>
    <w:lvl w:ilvl="3" w:tplc="37DC7F52" w:tentative="1">
      <w:start w:val="1"/>
      <w:numFmt w:val="decimal"/>
      <w:lvlText w:val="%4."/>
      <w:lvlJc w:val="left"/>
      <w:pPr>
        <w:ind w:left="2880" w:hanging="360"/>
      </w:pPr>
    </w:lvl>
    <w:lvl w:ilvl="4" w:tplc="00E6C30A" w:tentative="1">
      <w:start w:val="1"/>
      <w:numFmt w:val="lowerLetter"/>
      <w:lvlText w:val="%5."/>
      <w:lvlJc w:val="left"/>
      <w:pPr>
        <w:ind w:left="3600" w:hanging="360"/>
      </w:pPr>
    </w:lvl>
    <w:lvl w:ilvl="5" w:tplc="FE468A18" w:tentative="1">
      <w:start w:val="1"/>
      <w:numFmt w:val="lowerRoman"/>
      <w:lvlText w:val="%6."/>
      <w:lvlJc w:val="right"/>
      <w:pPr>
        <w:ind w:left="4320" w:hanging="180"/>
      </w:pPr>
    </w:lvl>
    <w:lvl w:ilvl="6" w:tplc="6518B3FE" w:tentative="1">
      <w:start w:val="1"/>
      <w:numFmt w:val="decimal"/>
      <w:lvlText w:val="%7."/>
      <w:lvlJc w:val="left"/>
      <w:pPr>
        <w:ind w:left="5040" w:hanging="360"/>
      </w:pPr>
    </w:lvl>
    <w:lvl w:ilvl="7" w:tplc="BCACBE86" w:tentative="1">
      <w:start w:val="1"/>
      <w:numFmt w:val="lowerLetter"/>
      <w:lvlText w:val="%8."/>
      <w:lvlJc w:val="left"/>
      <w:pPr>
        <w:ind w:left="5760" w:hanging="360"/>
      </w:pPr>
    </w:lvl>
    <w:lvl w:ilvl="8" w:tplc="AB569E06"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33408AB8">
      <w:start w:val="1"/>
      <w:numFmt w:val="upperRoman"/>
      <w:lvlText w:val="%1."/>
      <w:lvlJc w:val="right"/>
      <w:pPr>
        <w:ind w:left="720" w:hanging="360"/>
      </w:pPr>
    </w:lvl>
    <w:lvl w:ilvl="1" w:tplc="517A103E" w:tentative="1">
      <w:start w:val="1"/>
      <w:numFmt w:val="lowerLetter"/>
      <w:lvlText w:val="%2."/>
      <w:lvlJc w:val="left"/>
      <w:pPr>
        <w:ind w:left="1440" w:hanging="360"/>
      </w:pPr>
    </w:lvl>
    <w:lvl w:ilvl="2" w:tplc="69541D0E" w:tentative="1">
      <w:start w:val="1"/>
      <w:numFmt w:val="lowerRoman"/>
      <w:lvlText w:val="%3."/>
      <w:lvlJc w:val="right"/>
      <w:pPr>
        <w:ind w:left="2160" w:hanging="180"/>
      </w:pPr>
    </w:lvl>
    <w:lvl w:ilvl="3" w:tplc="EE5018DE" w:tentative="1">
      <w:start w:val="1"/>
      <w:numFmt w:val="decimal"/>
      <w:lvlText w:val="%4."/>
      <w:lvlJc w:val="left"/>
      <w:pPr>
        <w:ind w:left="2880" w:hanging="360"/>
      </w:pPr>
    </w:lvl>
    <w:lvl w:ilvl="4" w:tplc="85B2877E" w:tentative="1">
      <w:start w:val="1"/>
      <w:numFmt w:val="lowerLetter"/>
      <w:lvlText w:val="%5."/>
      <w:lvlJc w:val="left"/>
      <w:pPr>
        <w:ind w:left="3600" w:hanging="360"/>
      </w:pPr>
    </w:lvl>
    <w:lvl w:ilvl="5" w:tplc="89725886" w:tentative="1">
      <w:start w:val="1"/>
      <w:numFmt w:val="lowerRoman"/>
      <w:lvlText w:val="%6."/>
      <w:lvlJc w:val="right"/>
      <w:pPr>
        <w:ind w:left="4320" w:hanging="180"/>
      </w:pPr>
    </w:lvl>
    <w:lvl w:ilvl="6" w:tplc="74AEAFC8" w:tentative="1">
      <w:start w:val="1"/>
      <w:numFmt w:val="decimal"/>
      <w:lvlText w:val="%7."/>
      <w:lvlJc w:val="left"/>
      <w:pPr>
        <w:ind w:left="5040" w:hanging="360"/>
      </w:pPr>
    </w:lvl>
    <w:lvl w:ilvl="7" w:tplc="1CB47C00" w:tentative="1">
      <w:start w:val="1"/>
      <w:numFmt w:val="lowerLetter"/>
      <w:lvlText w:val="%8."/>
      <w:lvlJc w:val="left"/>
      <w:pPr>
        <w:ind w:left="5760" w:hanging="360"/>
      </w:pPr>
    </w:lvl>
    <w:lvl w:ilvl="8" w:tplc="A75E37F2" w:tentative="1">
      <w:start w:val="1"/>
      <w:numFmt w:val="lowerRoman"/>
      <w:lvlText w:val="%9."/>
      <w:lvlJc w:val="right"/>
      <w:pPr>
        <w:ind w:left="6480" w:hanging="180"/>
      </w:pPr>
    </w:lvl>
  </w:abstractNum>
  <w:num w:numId="1" w16cid:durableId="669794195">
    <w:abstractNumId w:val="1"/>
  </w:num>
  <w:num w:numId="2" w16cid:durableId="105574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5C4C"/>
    <w:rsid w:val="002D2230"/>
    <w:rsid w:val="005034AE"/>
    <w:rsid w:val="005A2F10"/>
    <w:rsid w:val="00634705"/>
    <w:rsid w:val="006664F7"/>
    <w:rsid w:val="007E3B63"/>
    <w:rsid w:val="009945EE"/>
    <w:rsid w:val="009C6080"/>
    <w:rsid w:val="00D01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4705"/>
    <w:pPr>
      <w:spacing w:after="0" w:line="240" w:lineRule="auto"/>
    </w:pPr>
    <w:rPr>
      <w:rFonts w:ascii="Verdana" w:eastAsia="Calibri" w:hAnsi="Verdana" w:cs="Times New Roman"/>
      <w:kern w:val="0"/>
      <w:sz w:val="18"/>
      <w:szCs w:val="22"/>
      <w14:ligatures w14:val="none"/>
    </w:rPr>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Koptekst">
    <w:name w:val="header"/>
    <w:basedOn w:val="Standaard"/>
    <w:link w:val="KoptekstChar"/>
    <w:uiPriority w:val="99"/>
    <w:unhideWhenUsed/>
    <w:rsid w:val="00634705"/>
    <w:pPr>
      <w:tabs>
        <w:tab w:val="center" w:pos="4536"/>
        <w:tab w:val="right" w:pos="9072"/>
      </w:tabs>
    </w:pPr>
  </w:style>
  <w:style w:type="character" w:customStyle="1" w:styleId="KoptekstChar">
    <w:name w:val="Koptekst Char"/>
    <w:basedOn w:val="Standaardalinea-lettertype"/>
    <w:link w:val="Koptekst"/>
    <w:uiPriority w:val="99"/>
    <w:rsid w:val="00634705"/>
    <w:rPr>
      <w:rFonts w:ascii="Verdana" w:eastAsia="Calibri" w:hAnsi="Verdana" w:cs="Times New Roman"/>
      <w:kern w:val="0"/>
      <w:sz w:val="18"/>
      <w:szCs w:val="22"/>
      <w14:ligatures w14:val="none"/>
    </w:rPr>
  </w:style>
  <w:style w:type="paragraph" w:customStyle="1" w:styleId="PlatteTekst">
    <w:name w:val="Platte_Tekst"/>
    <w:basedOn w:val="Standaard"/>
    <w:uiPriority w:val="99"/>
    <w:rsid w:val="00634705"/>
    <w:pPr>
      <w:spacing w:line="284" w:lineRule="exact"/>
    </w:pPr>
  </w:style>
  <w:style w:type="character" w:styleId="Hyperlink">
    <w:name w:val="Hyperlink"/>
    <w:rsid w:val="00634705"/>
    <w:rPr>
      <w:color w:val="0000FF"/>
      <w:u w:val="single"/>
    </w:rPr>
  </w:style>
  <w:style w:type="paragraph" w:styleId="Voetnoottekst">
    <w:name w:val="footnote text"/>
    <w:basedOn w:val="Standaard"/>
    <w:link w:val="VoetnoottekstChar"/>
    <w:uiPriority w:val="99"/>
    <w:semiHidden/>
    <w:rsid w:val="00634705"/>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634705"/>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634705"/>
    <w:rPr>
      <w:vertAlign w:val="superscript"/>
    </w:rPr>
  </w:style>
  <w:style w:type="character" w:styleId="Onopgelostemelding">
    <w:name w:val="Unresolved Mention"/>
    <w:basedOn w:val="Standaardalinea-lettertype"/>
    <w:uiPriority w:val="99"/>
    <w:semiHidden/>
    <w:unhideWhenUsed/>
    <w:rsid w:val="005034AE"/>
    <w:rPr>
      <w:color w:val="605E5C"/>
      <w:shd w:val="clear" w:color="auto" w:fill="E1DFDD"/>
    </w:rPr>
  </w:style>
  <w:style w:type="character" w:styleId="GevolgdeHyperlink">
    <w:name w:val="FollowedHyperlink"/>
    <w:basedOn w:val="Standaardalinea-lettertype"/>
    <w:uiPriority w:val="99"/>
    <w:semiHidden/>
    <w:unhideWhenUsed/>
    <w:rsid w:val="009C60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eur06.safelinks.protection.outlook.com/?url=https%3A%2F%2Feur-lex.europa.eu%2Flegal-content%2FNL%2FTXT%2F%3Furi%3DCELEX%253A52025PC0446%26qid%3D1767774233534&amp;data=05%7C02%7Cl.haverkamp%40tweedekamer.nl%7C0381967bb4d24219816008de4e7d6b82%7C238cb5073f714afeaaab8382731a4345%7C0%7C0%7C639034497740531199%7CUnknown%7CTWFpbGZsb3d8eyJFbXB0eU1hcGkiOnRydWUsIlYiOiIwLjAuMDAwMCIsIlAiOiJXaW4zMiIsIkFOIjoiTWFpbCIsIldUIjoyfQ%3D%3D%7C0%7C%7C%7C&amp;sdata=nDvPN5spC8TkKdpO0gJpEt0UDmLvuRgiruf1l%2FeSMdY%3D&amp;reserved=0"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292</ap:Words>
  <ap:Characters>1606</ap:Characters>
  <ap:DocSecurity>0</ap:DocSecurity>
  <ap:Lines>13</ap:Lines>
  <ap:Paragraphs>3</ap:Paragraphs>
  <ap:ScaleCrop>false</ap:ScaleCrop>
  <ap:LinksUpToDate>false</ap:LinksUpToDate>
  <ap:CharactersWithSpaces>1895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2024-12-12T10:38:00.0000000Z</dcterms:created>
  <dcterms:modified xsi:type="dcterms:W3CDTF">2026-01-12T09:27:00.0000000Z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0x010100652B67EEE1A68642A5D50A61AFC143750056F2A0B99D579F4DBE5DBC0C3BA4ECBE</vt:lpwstr>
  </property>
  <property fmtid="{D5CDD505-2E9C-101B-9397-08002B2CF9AE}" pid="3"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4" name="Beperking">
    <vt:lpwstr/>
  </property>
  <property fmtid="{D5CDD505-2E9C-101B-9397-08002B2CF9AE}" pid="5" name="_dlc_DocIdItemGuid">
    <vt:lpwstr>f0cde448-e22b-46fa-b806-28ca496cb52f</vt:lpwstr>
  </property>
</Properties>
</file>