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BD7" w:rsidR="006C5B02" w:rsidP="006C5B02" w:rsidRDefault="006C5B02" w14:paraId="56451DA8" w14:textId="77777777">
      <w:pPr>
        <w:rPr>
          <w:b/>
          <w:bCs/>
          <w:szCs w:val="18"/>
        </w:rPr>
      </w:pPr>
      <w:r w:rsidRPr="00AB6BD7">
        <w:rPr>
          <w:b/>
          <w:bCs/>
          <w:szCs w:val="18"/>
        </w:rPr>
        <w:t xml:space="preserve">Lijst van nieuwe EU-voorstellen </w:t>
      </w:r>
    </w:p>
    <w:p w:rsidRPr="00AB6BD7" w:rsidR="006C5B02" w:rsidP="006C5B02" w:rsidRDefault="006C5B02" w14:paraId="348F9830" w14:textId="77777777">
      <w:pPr>
        <w:rPr>
          <w:b/>
          <w:bCs/>
          <w:szCs w:val="18"/>
        </w:rPr>
      </w:pPr>
    </w:p>
    <w:p w:rsidRPr="00AB6BD7" w:rsidR="006C5B02" w:rsidP="006C5B02" w:rsidRDefault="006C5B02" w14:paraId="03CE4155" w14:textId="6140CD85" w14:noSpellErr="1">
      <w:pPr>
        <w:rPr>
          <w:szCs w:val="18"/>
        </w:rPr>
      </w:pPr>
      <w:r w:rsidR="7B27B0DB">
        <w:rPr/>
        <w:t>De</w:t>
      </w:r>
      <w:r w:rsidRPr="7B27B0DB" w:rsidR="7B27B0DB">
        <w:rPr>
          <w:b w:val="1"/>
          <w:bCs w:val="1"/>
        </w:rPr>
        <w:t> </w:t>
      </w:r>
      <w:r w:rsidR="7B27B0DB">
        <w:rPr/>
        <w:t>Europese Commissie heeft in de periode tussen </w:t>
      </w:r>
      <w:r w:rsidRPr="7B27B0DB" w:rsidR="7B27B0DB">
        <w:rPr>
          <w:b w:val="1"/>
          <w:bCs w:val="1"/>
        </w:rPr>
        <w:t>2</w:t>
      </w:r>
      <w:r w:rsidRPr="7B27B0DB" w:rsidR="7B27B0DB">
        <w:rPr>
          <w:b w:val="1"/>
          <w:bCs w:val="1"/>
        </w:rPr>
        <w:t xml:space="preserve">0 november </w:t>
      </w:r>
      <w:r w:rsidRPr="7B27B0DB" w:rsidR="7B27B0DB">
        <w:rPr>
          <w:b w:val="1"/>
          <w:bCs w:val="1"/>
        </w:rPr>
        <w:t xml:space="preserve">en </w:t>
      </w:r>
      <w:r w:rsidRPr="7B27B0DB" w:rsidR="7B27B0DB">
        <w:rPr>
          <w:b w:val="1"/>
          <w:bCs w:val="1"/>
        </w:rPr>
        <w:t xml:space="preserve">4 december </w:t>
      </w:r>
      <w:r w:rsidRPr="7B27B0DB" w:rsidR="7B27B0DB">
        <w:rPr>
          <w:b w:val="1"/>
          <w:bCs w:val="1"/>
        </w:rPr>
        <w:t xml:space="preserve">2025 </w:t>
      </w:r>
      <w:r w:rsidR="7B27B0DB">
        <w:rPr/>
        <w:t>de volgende voor deze vaste commissie</w:t>
      </w:r>
      <w:r w:rsidRPr="7B27B0DB" w:rsidR="7B27B0DB">
        <w:rPr>
          <w:b w:val="1"/>
          <w:bCs w:val="1"/>
        </w:rPr>
        <w:t> </w:t>
      </w:r>
      <w:r w:rsidR="7B27B0DB">
        <w:rPr/>
        <w:t>relevante voorstellen voor Europese wetgeving, besluiten en andere beleidsvormende documenten aan de Tweede Kamer gestuurd:  </w:t>
      </w:r>
    </w:p>
    <w:p w:rsidRPr="00AB6BD7" w:rsidR="006C5B02" w:rsidP="006C5B02" w:rsidRDefault="006C5B02" w14:paraId="1AAD0FD4" w14:textId="77777777">
      <w:pPr>
        <w:rPr>
          <w:b/>
          <w:bCs/>
          <w:szCs w:val="18"/>
        </w:rPr>
      </w:pPr>
    </w:p>
    <w:p w:rsidRPr="00AB6BD7" w:rsidR="006C5B02" w:rsidP="006C5B02" w:rsidRDefault="006C5B02" w14:paraId="7C450976" w14:textId="77777777">
      <w:pPr>
        <w:rPr>
          <w:b/>
          <w:bCs/>
          <w:szCs w:val="18"/>
        </w:rPr>
      </w:pPr>
    </w:p>
    <w:p w:rsidRPr="00AB6BD7" w:rsidR="006C5B02" w:rsidP="006C5B02" w:rsidRDefault="006C5B02" w14:paraId="7F88DEB6" w14:textId="77777777">
      <w:pPr>
        <w:pStyle w:val="Lijstalinea"/>
        <w:numPr>
          <w:ilvl w:val="0"/>
          <w:numId w:val="1"/>
        </w:numPr>
        <w:rPr>
          <w:b/>
          <w:bCs/>
          <w:szCs w:val="18"/>
        </w:rPr>
      </w:pPr>
      <w:r w:rsidRPr="00AB6BD7">
        <w:rPr>
          <w:b/>
          <w:bCs/>
          <w:szCs w:val="18"/>
        </w:rPr>
        <w:t>Nieuw voorgestelde EU-wetgeving</w:t>
      </w:r>
      <w:r w:rsidRPr="00AB6BD7">
        <w:rPr>
          <w:szCs w:val="18"/>
        </w:rPr>
        <w:br/>
      </w:r>
      <w:r w:rsidRPr="00AB6BD7">
        <w:rPr>
          <w:szCs w:val="18"/>
        </w:rPr>
        <w:t>(Verordeningen, richtlijnen en wetgevende besluiten)</w:t>
      </w:r>
    </w:p>
    <w:p w:rsidRPr="00AB6BD7" w:rsidR="006C5B02" w:rsidP="006C5B02" w:rsidRDefault="006C5B02" w14:paraId="40D4ED38" w14:textId="77777777">
      <w:pPr>
        <w:pStyle w:val="Lijstalinea"/>
        <w:rPr>
          <w:b/>
          <w:bCs/>
          <w:szCs w:val="18"/>
        </w:rPr>
      </w:pPr>
    </w:p>
    <w:p w:rsidRPr="00AB6BD7" w:rsidR="006C5B02" w:rsidP="006C5B02" w:rsidRDefault="006C5B02" w14:paraId="439D55FC" w14:textId="77777777">
      <w:pPr>
        <w:rPr>
          <w:b/>
          <w:bCs/>
          <w:szCs w:val="18"/>
        </w:rPr>
      </w:pPr>
    </w:p>
    <w:p w:rsidRPr="00AB6BD7" w:rsidR="006C5B02" w:rsidP="006C5B02" w:rsidRDefault="006C5B02" w14:paraId="05F879D2" w14:textId="77777777">
      <w:pPr>
        <w:rPr>
          <w:b/>
          <w:bCs/>
          <w:szCs w:val="18"/>
        </w:rPr>
      </w:pPr>
    </w:p>
    <w:p w:rsidRPr="00AB6BD7" w:rsidR="006C5B02" w:rsidP="006C5B02" w:rsidRDefault="006C5B02" w14:paraId="28661587" w14:textId="77777777">
      <w:pPr>
        <w:rPr>
          <w:b/>
          <w:bCs/>
          <w:szCs w:val="18"/>
        </w:rPr>
      </w:pPr>
    </w:p>
    <w:p w:rsidRPr="00AB6BD7" w:rsidR="006C5B02" w:rsidP="006C5B02" w:rsidRDefault="006C5B02" w14:paraId="6F54A445" w14:textId="77777777">
      <w:pPr>
        <w:pStyle w:val="Lijstalinea"/>
        <w:numPr>
          <w:ilvl w:val="0"/>
          <w:numId w:val="1"/>
        </w:numPr>
        <w:rPr>
          <w:b/>
          <w:bCs/>
          <w:szCs w:val="18"/>
        </w:rPr>
      </w:pPr>
      <w:r w:rsidRPr="00AB6BD7">
        <w:rPr>
          <w:b/>
          <w:bCs/>
          <w:szCs w:val="18"/>
        </w:rPr>
        <w:t xml:space="preserve">Nieuwe EU-documenten van niet-wetgevende aard </w:t>
      </w:r>
      <w:r w:rsidRPr="00AB6BD7">
        <w:rPr>
          <w:szCs w:val="18"/>
        </w:rPr>
        <w:br/>
      </w:r>
      <w:r w:rsidRPr="00AB6BD7">
        <w:rPr>
          <w:szCs w:val="18"/>
        </w:rPr>
        <w:t>(Mededelingen, aanbevelingen, actieplannen, consultaties, etc.)</w:t>
      </w:r>
    </w:p>
    <w:p w:rsidRPr="00AB6BD7" w:rsidR="006C5B02" w:rsidP="006C5B02" w:rsidRDefault="006C5B02" w14:paraId="1D2EEF2B" w14:textId="77777777">
      <w:pPr>
        <w:rPr>
          <w:b/>
          <w:bCs/>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24065CE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2C9A0117"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2B28993D"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6BD7" w:rsidR="006C5B02" w:rsidP="008541E2" w:rsidRDefault="006C5B02" w14:paraId="4F8B7062" w14:textId="67448349">
            <w:pPr>
              <w:rPr>
                <w:szCs w:val="18"/>
              </w:rPr>
            </w:pPr>
            <w:r w:rsidRPr="00AB6BD7">
              <w:rPr>
                <w:szCs w:val="18"/>
              </w:rPr>
              <w:t xml:space="preserve">Voorstel voor een BESLUIT VAN DE RAAD betreffende de ondertekening, namens de Unie, van een overeenkomst tussen de Europese Unie, enerzijds, en IJsland, anderzijds, tot vaststelling van de regels voor de deelname van IJsland aan het GOVSATCOM-onderdeel van het ruimtevaartprogramma van de Unie en het programma van de Unie voor beveiligde connectiviteit </w:t>
            </w:r>
            <w:hyperlink w:history="1" r:id="rId7">
              <w:r w:rsidRPr="00AB6BD7">
                <w:rPr>
                  <w:rStyle w:val="Hyperlink"/>
                  <w:szCs w:val="18"/>
                </w:rPr>
                <w:t>COM(2025)692</w:t>
              </w:r>
            </w:hyperlink>
            <w:r w:rsidRPr="00AB6BD7">
              <w:rPr>
                <w:szCs w:val="18"/>
              </w:rPr>
              <w:t xml:space="preserve"> </w:t>
            </w:r>
          </w:p>
          <w:p w:rsidRPr="00AB6BD7" w:rsidR="006C5B02" w:rsidP="008541E2" w:rsidRDefault="006C5B02" w14:paraId="3363346C" w14:textId="77777777">
            <w:pPr>
              <w:rPr>
                <w:szCs w:val="18"/>
              </w:rPr>
            </w:pPr>
          </w:p>
          <w:p w:rsidRPr="00AB6BD7" w:rsidR="006C5B02" w:rsidP="008541E2" w:rsidRDefault="006C5B02" w14:paraId="7FDEDE62" w14:textId="77777777">
            <w:pPr>
              <w:rPr>
                <w:szCs w:val="18"/>
              </w:rPr>
            </w:pPr>
          </w:p>
        </w:tc>
      </w:tr>
      <w:tr w:rsidRPr="00AB6BD7" w:rsidR="006C5B02" w:rsidTr="003A5541" w14:paraId="2E3E3388" w14:textId="77777777">
        <w:trPr>
          <w:trHeight w:val="2231"/>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2327A560"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43000CF8" w14:textId="77777777">
            <w:pPr>
              <w:rPr>
                <w:szCs w:val="18"/>
              </w:rPr>
            </w:pPr>
            <w:r w:rsidRPr="00AB6BD7">
              <w:rPr>
                <w:szCs w:val="18"/>
              </w:rPr>
              <w:t>Voorstel</w:t>
            </w:r>
          </w:p>
          <w:p w:rsidRPr="00AB6BD7" w:rsidR="006C5B02" w:rsidP="008541E2" w:rsidRDefault="006C5B02" w14:paraId="73FE6FAA" w14:textId="77777777">
            <w:pPr>
              <w:rPr>
                <w:szCs w:val="18"/>
                <w:lang w:val="en-GB"/>
              </w:rPr>
            </w:pPr>
          </w:p>
          <w:p w:rsidRPr="00AB6BD7" w:rsidR="006C5B02" w:rsidP="008541E2" w:rsidRDefault="006C5B02" w14:paraId="030ECA57" w14:textId="77777777">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6C5B02" w:rsidP="008541E2" w:rsidRDefault="006C5B02" w14:paraId="69752F90" w14:textId="77777777">
            <w:pPr>
              <w:pStyle w:val="Standaard1"/>
              <w:shd w:val="clear" w:color="auto" w:fill="FFFFFF"/>
              <w:spacing w:before="0" w:beforeAutospacing="0" w:after="0" w:afterAutospacing="0"/>
              <w:rPr>
                <w:rFonts w:ascii="Verdana" w:hAnsi="Verdana"/>
                <w:color w:val="000000"/>
                <w:sz w:val="18"/>
                <w:szCs w:val="18"/>
              </w:rPr>
            </w:pPr>
            <w:r w:rsidRPr="00AB6BD7">
              <w:rPr>
                <w:rFonts w:ascii="Verdana" w:hAnsi="Verdana"/>
                <w:color w:val="000000"/>
                <w:sz w:val="18"/>
                <w:szCs w:val="18"/>
              </w:rPr>
              <w:t>Ter informatie</w:t>
            </w:r>
          </w:p>
          <w:p w:rsidRPr="00AB6BD7" w:rsidR="006C5B02" w:rsidP="008541E2" w:rsidRDefault="006C5B02" w14:paraId="4FAE9DDA" w14:textId="77777777">
            <w:pPr>
              <w:pStyle w:val="Standaard1"/>
              <w:shd w:val="clear" w:color="auto" w:fill="FFFFFF"/>
              <w:spacing w:before="0" w:beforeAutospacing="0" w:after="0" w:afterAutospacing="0"/>
              <w:rPr>
                <w:rFonts w:ascii="Verdana" w:hAnsi="Verdana"/>
                <w:color w:val="000000"/>
                <w:sz w:val="18"/>
                <w:szCs w:val="18"/>
              </w:rPr>
            </w:pPr>
          </w:p>
          <w:p w:rsidRPr="00AB6BD7" w:rsidR="006C5B02" w:rsidP="006C5B02" w:rsidRDefault="007A5880" w14:paraId="5915A3EA" w14:textId="6C64C88F">
            <w:pPr>
              <w:pStyle w:val="Standaard1"/>
              <w:shd w:val="clear" w:color="auto" w:fill="FFFFFF"/>
              <w:spacing w:before="0" w:beforeAutospacing="0" w:after="0" w:afterAutospacing="0"/>
              <w:rPr>
                <w:rFonts w:ascii="Verdana" w:hAnsi="Verdana"/>
                <w:color w:val="000000"/>
                <w:sz w:val="18"/>
                <w:szCs w:val="18"/>
              </w:rPr>
            </w:pPr>
            <w:r w:rsidRPr="00AB6BD7">
              <w:rPr>
                <w:rFonts w:ascii="Verdana" w:hAnsi="Verdana"/>
                <w:color w:val="000000"/>
                <w:sz w:val="18"/>
                <w:szCs w:val="18"/>
              </w:rPr>
              <w:t xml:space="preserve">IJsland is een ruimtevaartpartner van de EU en neemt deel aan verschillende onderdelen van het ruimtevaartprogramma van de </w:t>
            </w:r>
            <w:r w:rsidRPr="00AB6BD7">
              <w:rPr>
                <w:rFonts w:ascii="Verdana" w:hAnsi="Verdana"/>
                <w:color w:val="000000"/>
                <w:sz w:val="18"/>
                <w:szCs w:val="18"/>
              </w:rPr>
              <w:t>EU</w:t>
            </w:r>
            <w:r w:rsidRPr="00AB6BD7">
              <w:rPr>
                <w:rFonts w:ascii="Verdana" w:hAnsi="Verdana"/>
                <w:color w:val="000000"/>
                <w:sz w:val="18"/>
                <w:szCs w:val="18"/>
              </w:rPr>
              <w:t xml:space="preserve">, </w:t>
            </w:r>
            <w:r w:rsidRPr="00AB6BD7">
              <w:rPr>
                <w:rFonts w:ascii="Verdana" w:hAnsi="Verdana"/>
                <w:color w:val="000000"/>
                <w:sz w:val="18"/>
                <w:szCs w:val="18"/>
              </w:rPr>
              <w:t xml:space="preserve">maar niet het </w:t>
            </w:r>
            <w:r w:rsidRPr="00AB6BD7">
              <w:rPr>
                <w:rFonts w:ascii="Verdana" w:hAnsi="Verdana"/>
                <w:color w:val="000000"/>
                <w:sz w:val="18"/>
                <w:szCs w:val="18"/>
              </w:rPr>
              <w:t>GOVSATCOM-onderdeel.</w:t>
            </w:r>
            <w:r w:rsidRPr="00AB6BD7">
              <w:rPr>
                <w:rFonts w:ascii="Verdana" w:hAnsi="Verdana"/>
                <w:color w:val="000000"/>
                <w:sz w:val="18"/>
                <w:szCs w:val="18"/>
              </w:rPr>
              <w:t xml:space="preserve"> </w:t>
            </w:r>
            <w:r w:rsidRPr="00AB6BD7" w:rsidR="009A185B">
              <w:rPr>
                <w:rFonts w:ascii="Verdana" w:hAnsi="Verdana"/>
                <w:color w:val="000000"/>
                <w:sz w:val="18"/>
                <w:szCs w:val="18"/>
              </w:rPr>
              <w:t xml:space="preserve">Dit is </w:t>
            </w:r>
            <w:r w:rsidRPr="00AB6BD7" w:rsidR="009A185B">
              <w:rPr>
                <w:rFonts w:ascii="Verdana" w:hAnsi="Verdana"/>
                <w:color w:val="000000"/>
                <w:sz w:val="18"/>
                <w:szCs w:val="18"/>
              </w:rPr>
              <w:t>een satellietcommunicatiedienst voor de overheid, die veilige en betrouwbare connectiviteit biedt voor de overheidsinstanties van de EU en de lidstaten.</w:t>
            </w:r>
            <w:r w:rsidRPr="00AB6BD7" w:rsidR="009A185B">
              <w:rPr>
                <w:rFonts w:ascii="Verdana" w:hAnsi="Verdana"/>
                <w:color w:val="000000"/>
                <w:sz w:val="18"/>
                <w:szCs w:val="18"/>
              </w:rPr>
              <w:t xml:space="preserve"> </w:t>
            </w:r>
            <w:r w:rsidRPr="00AB6BD7" w:rsidR="008A40FC">
              <w:rPr>
                <w:rFonts w:ascii="Verdana" w:hAnsi="Verdana"/>
                <w:color w:val="000000"/>
                <w:sz w:val="18"/>
                <w:szCs w:val="18"/>
              </w:rPr>
              <w:t>D</w:t>
            </w:r>
            <w:r w:rsidRPr="00AB6BD7" w:rsidR="008A40FC">
              <w:rPr>
                <w:rFonts w:ascii="Verdana" w:hAnsi="Verdana"/>
                <w:color w:val="000000"/>
                <w:sz w:val="18"/>
                <w:szCs w:val="18"/>
              </w:rPr>
              <w:t>eelname van derde landen aan de beveiligde connectiviteit</w:t>
            </w:r>
            <w:r w:rsidRPr="00AB6BD7" w:rsidR="008A40FC">
              <w:rPr>
                <w:rFonts w:ascii="Verdana" w:hAnsi="Verdana"/>
                <w:color w:val="000000"/>
                <w:sz w:val="18"/>
                <w:szCs w:val="18"/>
              </w:rPr>
              <w:t xml:space="preserve"> (</w:t>
            </w:r>
            <w:r w:rsidRPr="00AB6BD7" w:rsidR="008A40FC">
              <w:rPr>
                <w:rFonts w:ascii="Verdana" w:hAnsi="Verdana"/>
                <w:color w:val="000000"/>
                <w:sz w:val="18"/>
                <w:szCs w:val="18"/>
              </w:rPr>
              <w:t>GOVSATCOM</w:t>
            </w:r>
            <w:r w:rsidRPr="00AB6BD7" w:rsidR="008A40FC">
              <w:rPr>
                <w:rFonts w:ascii="Verdana" w:hAnsi="Verdana"/>
                <w:color w:val="000000"/>
                <w:sz w:val="18"/>
                <w:szCs w:val="18"/>
              </w:rPr>
              <w:t xml:space="preserve">) </w:t>
            </w:r>
            <w:r w:rsidRPr="00AB6BD7" w:rsidR="005B2E4B">
              <w:rPr>
                <w:rFonts w:ascii="Verdana" w:hAnsi="Verdana"/>
                <w:color w:val="000000"/>
                <w:sz w:val="18"/>
                <w:szCs w:val="18"/>
              </w:rPr>
              <w:t xml:space="preserve">wordt </w:t>
            </w:r>
            <w:r w:rsidRPr="00AB6BD7" w:rsidR="008A40FC">
              <w:rPr>
                <w:rFonts w:ascii="Verdana" w:hAnsi="Verdana"/>
                <w:color w:val="000000"/>
                <w:sz w:val="18"/>
                <w:szCs w:val="18"/>
              </w:rPr>
              <w:t>geregeld bij een afzonderlijke internationale overeenkomst</w:t>
            </w:r>
            <w:r w:rsidRPr="00AB6BD7" w:rsidR="008A40FC">
              <w:rPr>
                <w:rFonts w:ascii="Verdana" w:hAnsi="Verdana"/>
                <w:color w:val="000000"/>
                <w:sz w:val="18"/>
                <w:szCs w:val="18"/>
              </w:rPr>
              <w:t>.</w:t>
            </w:r>
            <w:r w:rsidRPr="00AB6BD7" w:rsidR="003A5541">
              <w:rPr>
                <w:rFonts w:ascii="Verdana" w:hAnsi="Verdana"/>
                <w:color w:val="000000"/>
                <w:sz w:val="18"/>
                <w:szCs w:val="18"/>
              </w:rPr>
              <w:t xml:space="preserve"> Dit betreft een voorstel tot ondertekening daarvan. </w:t>
            </w:r>
          </w:p>
        </w:tc>
      </w:tr>
    </w:tbl>
    <w:p w:rsidRPr="00AB6BD7" w:rsidR="006C5B02" w:rsidP="006C5B02" w:rsidRDefault="006C5B02" w14:paraId="234BB4FC" w14:textId="77777777">
      <w:pPr>
        <w:rPr>
          <w:b/>
          <w:bCs/>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317414C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2A6AF373"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640A5CB0"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C5B02" w:rsidR="006C5B02" w:rsidP="006C5B02" w:rsidRDefault="006C5B02" w14:paraId="3667CE93" w14:textId="77777777">
            <w:pPr>
              <w:rPr>
                <w:szCs w:val="18"/>
              </w:rPr>
            </w:pPr>
            <w:r w:rsidRPr="006C5B02">
              <w:rPr>
                <w:szCs w:val="18"/>
              </w:rPr>
              <w:t>Voorstel voor een BESLUIT VAN DE RAAD betreffende de sluiting, namens de Unie, van een overeenkomst tussen de Europese Unie, enerzijds, en het Koninkrijk Noorwegen, anderzijds, tot vaststelling van de regels voor de deelname van het Koninkrijk Noorwegen aan het GOVSATCOM-onderdeel van het ruimtevaartprogramma van de Unie en het programma van de Unie voor beveiligde connectiviteit</w:t>
            </w:r>
          </w:p>
          <w:p w:rsidRPr="00AB6BD7" w:rsidR="006C5B02" w:rsidP="006C5B02" w:rsidRDefault="006C5B02" w14:paraId="268054D2" w14:textId="476CB3A5">
            <w:pPr>
              <w:rPr>
                <w:szCs w:val="18"/>
              </w:rPr>
            </w:pPr>
            <w:hyperlink w:history="1" r:id="rId8">
              <w:r w:rsidRPr="00AB6BD7">
                <w:rPr>
                  <w:rStyle w:val="Hyperlink"/>
                  <w:szCs w:val="18"/>
                </w:rPr>
                <w:t>COM(2025)694</w:t>
              </w:r>
            </w:hyperlink>
          </w:p>
          <w:p w:rsidRPr="00AB6BD7" w:rsidR="006C5B02" w:rsidP="006C5B02" w:rsidRDefault="006C5B02" w14:paraId="42FED61D" w14:textId="77777777">
            <w:pPr>
              <w:rPr>
                <w:szCs w:val="18"/>
              </w:rPr>
            </w:pPr>
          </w:p>
          <w:p w:rsidRPr="00AB6BD7" w:rsidR="006C5B02" w:rsidP="008541E2" w:rsidRDefault="006C5B02" w14:paraId="2442CB0A" w14:textId="77777777">
            <w:pPr>
              <w:rPr>
                <w:szCs w:val="18"/>
              </w:rPr>
            </w:pPr>
          </w:p>
        </w:tc>
      </w:tr>
      <w:tr w:rsidRPr="00AB6BD7" w:rsidR="006C5B02" w:rsidTr="008541E2" w14:paraId="7BFD446D" w14:textId="77777777">
        <w:trPr>
          <w:trHeight w:val="1229"/>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4D4ED1F7"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63D9D43C" w14:textId="77777777">
            <w:pPr>
              <w:rPr>
                <w:szCs w:val="18"/>
              </w:rPr>
            </w:pPr>
            <w:r w:rsidRPr="00AB6BD7">
              <w:rPr>
                <w:szCs w:val="18"/>
              </w:rPr>
              <w:t>Voorstel</w:t>
            </w:r>
          </w:p>
          <w:p w:rsidRPr="00AB6BD7" w:rsidR="006C5B02" w:rsidP="008541E2" w:rsidRDefault="006C5B02" w14:paraId="36AFE407" w14:textId="77777777">
            <w:pPr>
              <w:rPr>
                <w:szCs w:val="18"/>
              </w:rPr>
            </w:pPr>
          </w:p>
          <w:p w:rsidRPr="00AB6BD7" w:rsidR="006C5B02" w:rsidP="008541E2" w:rsidRDefault="006C5B02" w14:paraId="14CBBF68" w14:textId="77777777">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6C5B02" w:rsidP="008541E2" w:rsidRDefault="006C5B02" w14:paraId="677AAA9B" w14:textId="77777777">
            <w:pPr>
              <w:pStyle w:val="Standaard1"/>
              <w:spacing w:after="0" w:afterAutospacing="0"/>
              <w:rPr>
                <w:rFonts w:ascii="Verdana" w:hAnsi="Verdana"/>
                <w:color w:val="000000"/>
                <w:sz w:val="18"/>
                <w:szCs w:val="18"/>
              </w:rPr>
            </w:pPr>
            <w:r w:rsidRPr="00AB6BD7">
              <w:rPr>
                <w:rFonts w:ascii="Verdana" w:hAnsi="Verdana"/>
                <w:color w:val="000000"/>
                <w:sz w:val="18"/>
                <w:szCs w:val="18"/>
              </w:rPr>
              <w:t>Ter informatie</w:t>
            </w:r>
          </w:p>
          <w:p w:rsidRPr="00AB6BD7" w:rsidR="003A5541" w:rsidP="006C5B02" w:rsidRDefault="00B47246" w14:paraId="7B836D19" w14:textId="03BEE696">
            <w:pPr>
              <w:pStyle w:val="Standaard1"/>
              <w:spacing w:after="0" w:afterAutospacing="0"/>
              <w:rPr>
                <w:rFonts w:ascii="Verdana" w:hAnsi="Verdana"/>
                <w:color w:val="000000"/>
                <w:sz w:val="18"/>
                <w:szCs w:val="18"/>
              </w:rPr>
            </w:pPr>
            <w:r w:rsidRPr="00AB6BD7">
              <w:rPr>
                <w:rFonts w:ascii="Verdana" w:hAnsi="Verdana"/>
                <w:color w:val="000000"/>
                <w:sz w:val="18"/>
                <w:szCs w:val="18"/>
              </w:rPr>
              <w:t xml:space="preserve">Noorwegen </w:t>
            </w:r>
            <w:r w:rsidRPr="00AB6BD7">
              <w:rPr>
                <w:rFonts w:ascii="Verdana" w:hAnsi="Verdana"/>
                <w:color w:val="000000"/>
                <w:sz w:val="18"/>
                <w:szCs w:val="18"/>
              </w:rPr>
              <w:t>is</w:t>
            </w:r>
            <w:r w:rsidRPr="00AB6BD7">
              <w:rPr>
                <w:rFonts w:ascii="Verdana" w:hAnsi="Verdana"/>
                <w:color w:val="000000"/>
                <w:sz w:val="18"/>
                <w:szCs w:val="18"/>
              </w:rPr>
              <w:t xml:space="preserve"> ook</w:t>
            </w:r>
            <w:r w:rsidRPr="00AB6BD7">
              <w:rPr>
                <w:rFonts w:ascii="Verdana" w:hAnsi="Verdana"/>
                <w:color w:val="000000"/>
                <w:sz w:val="18"/>
                <w:szCs w:val="18"/>
              </w:rPr>
              <w:t xml:space="preserve"> een ruimtevaartpartner van de EU en neemt deel aan verschillende onderdelen van het ruimtevaartprogramma van de EU, maar </w:t>
            </w:r>
            <w:r w:rsidRPr="00AB6BD7">
              <w:rPr>
                <w:rFonts w:ascii="Verdana" w:hAnsi="Verdana"/>
                <w:color w:val="000000"/>
                <w:sz w:val="18"/>
                <w:szCs w:val="18"/>
              </w:rPr>
              <w:t xml:space="preserve">ook </w:t>
            </w:r>
            <w:r w:rsidRPr="00AB6BD7">
              <w:rPr>
                <w:rFonts w:ascii="Verdana" w:hAnsi="Verdana"/>
                <w:color w:val="000000"/>
                <w:sz w:val="18"/>
                <w:szCs w:val="18"/>
              </w:rPr>
              <w:t>niet het GOVSATCOM-onderdeel.</w:t>
            </w:r>
            <w:r w:rsidRPr="00AB6BD7" w:rsidR="00D0085C">
              <w:rPr>
                <w:rFonts w:ascii="Verdana" w:hAnsi="Verdana"/>
                <w:color w:val="000000"/>
                <w:sz w:val="18"/>
                <w:szCs w:val="18"/>
              </w:rPr>
              <w:t xml:space="preserve"> </w:t>
            </w:r>
            <w:r w:rsidRPr="00AB6BD7" w:rsidR="00D0085C">
              <w:rPr>
                <w:rFonts w:ascii="Verdana" w:hAnsi="Verdana"/>
                <w:color w:val="000000"/>
                <w:sz w:val="18"/>
                <w:szCs w:val="18"/>
              </w:rPr>
              <w:t xml:space="preserve">Deelname van derde landen aan de beveiligde connectiviteit (GOVSATCOM) wordt geregeld bij een afzonderlijke internationale overeenkomst. Dit betreft een voorstel tot </w:t>
            </w:r>
            <w:r w:rsidRPr="00AB6BD7" w:rsidR="00D0085C">
              <w:rPr>
                <w:rFonts w:ascii="Verdana" w:hAnsi="Verdana"/>
                <w:color w:val="000000"/>
                <w:sz w:val="18"/>
                <w:szCs w:val="18"/>
              </w:rPr>
              <w:t xml:space="preserve">sluiting </w:t>
            </w:r>
            <w:r w:rsidRPr="00AB6BD7" w:rsidR="00D0085C">
              <w:rPr>
                <w:rFonts w:ascii="Verdana" w:hAnsi="Verdana"/>
                <w:color w:val="000000"/>
                <w:sz w:val="18"/>
                <w:szCs w:val="18"/>
              </w:rPr>
              <w:t>daarvan.</w:t>
            </w:r>
          </w:p>
        </w:tc>
      </w:tr>
    </w:tbl>
    <w:p w:rsidRPr="00AB6BD7" w:rsidR="006C5B02" w:rsidP="006C5B02" w:rsidRDefault="006C5B02" w14:paraId="3E36FC9D"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14CCB4F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5E85E5FB"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51D4AAF2"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6BD7" w:rsidR="006F7E21" w:rsidP="006F7E21" w:rsidRDefault="006F7E21" w14:paraId="671AF666" w14:textId="77777777">
            <w:pPr>
              <w:rPr>
                <w:szCs w:val="18"/>
              </w:rPr>
            </w:pPr>
            <w:r w:rsidRPr="00AB6BD7">
              <w:rPr>
                <w:szCs w:val="18"/>
              </w:rPr>
              <w:t xml:space="preserve">Voorstel voor een BESLUIT VAN DE RAAD betreffende de sluiting, namens de Unie, van een overeenkomst tussen de Europese Unie, </w:t>
            </w:r>
            <w:r w:rsidRPr="00AB6BD7">
              <w:rPr>
                <w:szCs w:val="18"/>
              </w:rPr>
              <w:lastRenderedPageBreak/>
              <w:t xml:space="preserve">enerzijds, en IJsland, anderzijds, tot vaststelling van de regels voor de deelname van IJsland aan het GOVSATCOM-onderdeel van het ruimtevaartprogramma van de Unie en het programma van de Unie voor beveiligde connectiviteit </w:t>
            </w:r>
            <w:hyperlink w:history="1" r:id="rId9">
              <w:r w:rsidRPr="00AB6BD7">
                <w:rPr>
                  <w:rStyle w:val="Hyperlink"/>
                  <w:szCs w:val="18"/>
                </w:rPr>
                <w:t>COM(2025)693</w:t>
              </w:r>
            </w:hyperlink>
          </w:p>
          <w:p w:rsidRPr="00AB6BD7" w:rsidR="003A5541" w:rsidP="006F7E21" w:rsidRDefault="003A5541" w14:paraId="1418FE16" w14:textId="77777777">
            <w:pPr>
              <w:rPr>
                <w:rFonts w:eastAsiaTheme="minorHAnsi"/>
                <w:szCs w:val="18"/>
              </w:rPr>
            </w:pPr>
          </w:p>
          <w:p w:rsidRPr="00AB6BD7" w:rsidR="006C5B02" w:rsidP="006C5B02" w:rsidRDefault="006C5B02" w14:paraId="582B6BA0" w14:textId="77777777">
            <w:pPr>
              <w:rPr>
                <w:szCs w:val="18"/>
              </w:rPr>
            </w:pPr>
          </w:p>
        </w:tc>
      </w:tr>
      <w:tr w:rsidRPr="00AB6BD7" w:rsidR="006C5B02" w:rsidTr="008541E2" w14:paraId="6C72F64E" w14:textId="77777777">
        <w:trPr>
          <w:trHeight w:val="1402"/>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0C481BEA"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456396DB" w14:textId="77777777">
            <w:pPr>
              <w:rPr>
                <w:szCs w:val="18"/>
              </w:rPr>
            </w:pPr>
            <w:r w:rsidRPr="00AB6BD7">
              <w:rPr>
                <w:szCs w:val="18"/>
              </w:rPr>
              <w:t>Voorstel</w:t>
            </w:r>
          </w:p>
          <w:p w:rsidRPr="00AB6BD7" w:rsidR="006C5B02" w:rsidP="008541E2" w:rsidRDefault="006C5B02" w14:paraId="189F27E7" w14:textId="77777777">
            <w:pPr>
              <w:rPr>
                <w:szCs w:val="18"/>
              </w:rPr>
            </w:pPr>
          </w:p>
          <w:p w:rsidRPr="00AB6BD7" w:rsidR="006C5B02" w:rsidP="008541E2" w:rsidRDefault="006C5B02" w14:paraId="2CCA8251" w14:textId="77777777">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6C5B02" w:rsidP="008541E2" w:rsidRDefault="006C5B02" w14:paraId="6FF61625" w14:textId="77777777">
            <w:pPr>
              <w:pStyle w:val="Standaard1"/>
              <w:spacing w:after="0" w:afterAutospacing="0"/>
              <w:rPr>
                <w:rFonts w:ascii="Verdana" w:hAnsi="Verdana"/>
                <w:color w:val="000000"/>
                <w:sz w:val="18"/>
                <w:szCs w:val="18"/>
              </w:rPr>
            </w:pPr>
            <w:r w:rsidRPr="00AB6BD7">
              <w:rPr>
                <w:rFonts w:ascii="Verdana" w:hAnsi="Verdana"/>
                <w:color w:val="000000"/>
                <w:sz w:val="18"/>
                <w:szCs w:val="18"/>
              </w:rPr>
              <w:t>Ter informatie</w:t>
            </w:r>
          </w:p>
          <w:p w:rsidRPr="00AB6BD7" w:rsidR="006C5B02" w:rsidP="008541E2" w:rsidRDefault="006C5B02" w14:paraId="4EBC7689" w14:textId="77777777">
            <w:pPr>
              <w:pStyle w:val="Standaard1"/>
              <w:spacing w:before="0" w:beforeAutospacing="0" w:after="0" w:afterAutospacing="0"/>
              <w:rPr>
                <w:rFonts w:ascii="Verdana" w:hAnsi="Verdana"/>
                <w:color w:val="000000"/>
                <w:sz w:val="18"/>
                <w:szCs w:val="18"/>
              </w:rPr>
            </w:pPr>
          </w:p>
          <w:p w:rsidRPr="00AB6BD7" w:rsidR="003A5541" w:rsidP="008541E2" w:rsidRDefault="003A5541" w14:paraId="2F1C5198" w14:textId="00FC072A">
            <w:pPr>
              <w:pStyle w:val="Standaard1"/>
              <w:spacing w:before="0" w:beforeAutospacing="0" w:after="0" w:afterAutospacing="0"/>
              <w:rPr>
                <w:rFonts w:ascii="Verdana" w:hAnsi="Verdana"/>
                <w:color w:val="000000"/>
                <w:sz w:val="18"/>
                <w:szCs w:val="18"/>
              </w:rPr>
            </w:pPr>
            <w:r w:rsidRPr="00AB6BD7">
              <w:rPr>
                <w:rFonts w:ascii="Verdana" w:hAnsi="Verdana"/>
                <w:color w:val="000000"/>
                <w:sz w:val="18"/>
                <w:szCs w:val="18"/>
              </w:rPr>
              <w:t>IJsland is een ruimtevaartpartner van de EU en neemt deel aan verschillende onderdelen van het ruimtevaartprogramma van de EU, maar niet het GOVSATCOM-onderdeel. Dit is een satellietcommunicatiedienst voor de overheid, die veilige en betrouwbare connectiviteit biedt voor de overheidsinstanties van de EU en de lidstaten. Deelname van derde landen aan de beveiligde connectiviteit (GOVSATCOM) wordt geregeld bij een afzonderlijke internationale overeenkomst. Dit betreft een voorstel tot sluiting van de overeenkomst.</w:t>
            </w:r>
          </w:p>
        </w:tc>
      </w:tr>
    </w:tbl>
    <w:p w:rsidRPr="00AB6BD7" w:rsidR="006C5B02" w:rsidP="006C5B02" w:rsidRDefault="006C5B02" w14:paraId="115FF01F" w14:textId="77777777">
      <w:pPr>
        <w:rPr>
          <w:szCs w:val="18"/>
        </w:rPr>
      </w:pPr>
    </w:p>
    <w:p w:rsidRPr="00AB6BD7" w:rsidR="006C5B02" w:rsidP="006C5B02" w:rsidRDefault="006C5B02" w14:paraId="288B8A63" w14:textId="77777777">
      <w:pPr>
        <w:rPr>
          <w:szCs w:val="18"/>
        </w:rPr>
      </w:pPr>
    </w:p>
    <w:p w:rsidRPr="00AB6BD7" w:rsidR="006C5B02" w:rsidP="006C5B02" w:rsidRDefault="006C5B02" w14:paraId="0C48C97E"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41B3FE1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5F668BDD"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7C1073C0"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6BD7" w:rsidR="006C5B02" w:rsidP="008541E2" w:rsidRDefault="00863FB4" w14:paraId="053417FF" w14:textId="30BA94D4">
            <w:pPr>
              <w:rPr>
                <w:szCs w:val="18"/>
              </w:rPr>
            </w:pPr>
            <w:r w:rsidRPr="00AB6BD7">
              <w:rPr>
                <w:szCs w:val="18"/>
              </w:rPr>
              <w:t xml:space="preserve">VERSLAG VAN DE COMMISSIE AAN HET EUROPEES PARLEMENT EN DE RAAD betreffende de uitoefening van de aan de Commissie toegekende bevoegdheid om gedelegeerde handelingen vast te stellen uit hoofde van Verordening (EU) nr. 691/2011 inzake Europese milieu-economische rekeningen </w:t>
            </w:r>
            <w:hyperlink w:history="1" r:id="rId10">
              <w:r w:rsidRPr="00AB6BD7">
                <w:rPr>
                  <w:rStyle w:val="Hyperlink"/>
                  <w:szCs w:val="18"/>
                </w:rPr>
                <w:t>COM(2025)697</w:t>
              </w:r>
            </w:hyperlink>
          </w:p>
          <w:p w:rsidRPr="00AB6BD7" w:rsidR="00863FB4" w:rsidP="008541E2" w:rsidRDefault="00863FB4" w14:paraId="2EEDA5A6" w14:textId="77777777">
            <w:pPr>
              <w:rPr>
                <w:szCs w:val="18"/>
              </w:rPr>
            </w:pPr>
          </w:p>
          <w:p w:rsidRPr="00AB6BD7" w:rsidR="006C5B02" w:rsidP="008541E2" w:rsidRDefault="006C5B02" w14:paraId="3A8955F9" w14:textId="77777777">
            <w:pPr>
              <w:rPr>
                <w:szCs w:val="18"/>
              </w:rPr>
            </w:pPr>
          </w:p>
        </w:tc>
      </w:tr>
      <w:tr w:rsidRPr="00AB6BD7" w:rsidR="006C5B02" w:rsidTr="008541E2" w14:paraId="0B5C02CF" w14:textId="77777777">
        <w:trPr>
          <w:trHeight w:val="1402"/>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31284B0B"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71D3BAC9" w14:textId="77777777">
            <w:pPr>
              <w:rPr>
                <w:szCs w:val="18"/>
              </w:rPr>
            </w:pPr>
            <w:r w:rsidRPr="00AB6BD7">
              <w:rPr>
                <w:szCs w:val="18"/>
              </w:rPr>
              <w:t>Voorstel</w:t>
            </w:r>
          </w:p>
          <w:p w:rsidRPr="00AB6BD7" w:rsidR="006C5B02" w:rsidP="008541E2" w:rsidRDefault="006C5B02" w14:paraId="62B1B065" w14:textId="77777777">
            <w:pPr>
              <w:rPr>
                <w:szCs w:val="18"/>
              </w:rPr>
            </w:pPr>
          </w:p>
          <w:p w:rsidRPr="00AB6BD7" w:rsidR="006C5B02" w:rsidP="008541E2" w:rsidRDefault="006C5B02" w14:paraId="55C90ACD" w14:textId="77777777">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6C5B02" w:rsidP="008541E2" w:rsidRDefault="006C5B02" w14:paraId="1CB03AD5" w14:textId="77777777">
            <w:pPr>
              <w:pStyle w:val="Standaard1"/>
              <w:spacing w:after="0" w:afterAutospacing="0"/>
              <w:rPr>
                <w:rFonts w:ascii="Verdana" w:hAnsi="Verdana"/>
                <w:color w:val="000000"/>
                <w:sz w:val="18"/>
                <w:szCs w:val="18"/>
              </w:rPr>
            </w:pPr>
            <w:r w:rsidRPr="00AB6BD7">
              <w:rPr>
                <w:rFonts w:ascii="Verdana" w:hAnsi="Verdana"/>
                <w:color w:val="000000"/>
                <w:sz w:val="18"/>
                <w:szCs w:val="18"/>
              </w:rPr>
              <w:t>Ter informatie</w:t>
            </w:r>
          </w:p>
          <w:p w:rsidRPr="00AB6BD7" w:rsidR="006C5B02" w:rsidP="008541E2" w:rsidRDefault="006C5B02" w14:paraId="2FCDC77C" w14:textId="77777777">
            <w:pPr>
              <w:pStyle w:val="Standaard1"/>
              <w:spacing w:before="0" w:beforeAutospacing="0" w:after="0" w:afterAutospacing="0"/>
              <w:rPr>
                <w:rFonts w:ascii="Verdana" w:hAnsi="Verdana"/>
                <w:color w:val="000000"/>
                <w:sz w:val="18"/>
                <w:szCs w:val="18"/>
              </w:rPr>
            </w:pPr>
          </w:p>
          <w:p w:rsidRPr="00AB6BD7" w:rsidR="006C5B02" w:rsidP="008541E2" w:rsidRDefault="005A300B" w14:paraId="046AAC2E" w14:textId="0A2342D9">
            <w:pPr>
              <w:pStyle w:val="Standaard1"/>
              <w:spacing w:before="0" w:beforeAutospacing="0" w:after="0" w:afterAutospacing="0"/>
              <w:rPr>
                <w:rFonts w:ascii="Verdana" w:hAnsi="Verdana"/>
                <w:color w:val="000000"/>
                <w:sz w:val="18"/>
                <w:szCs w:val="18"/>
              </w:rPr>
            </w:pPr>
            <w:r w:rsidRPr="00AB6BD7">
              <w:rPr>
                <w:rFonts w:ascii="Verdana" w:hAnsi="Verdana"/>
                <w:color w:val="000000"/>
                <w:sz w:val="18"/>
                <w:szCs w:val="18"/>
              </w:rPr>
              <w:t xml:space="preserve">Volgens het verdrag inzake </w:t>
            </w:r>
            <w:r w:rsidRPr="00AB6BD7">
              <w:rPr>
                <w:rFonts w:ascii="Verdana" w:hAnsi="Verdana"/>
                <w:color w:val="000000"/>
                <w:sz w:val="18"/>
                <w:szCs w:val="18"/>
              </w:rPr>
              <w:t>Europese milieu-economische rekeningen</w:t>
            </w:r>
            <w:r w:rsidRPr="00AB6BD7">
              <w:rPr>
                <w:rFonts w:ascii="Verdana" w:hAnsi="Verdana"/>
                <w:color w:val="000000"/>
                <w:sz w:val="18"/>
                <w:szCs w:val="18"/>
              </w:rPr>
              <w:t xml:space="preserve"> heeft de EC </w:t>
            </w:r>
            <w:r w:rsidRPr="00AB6BD7">
              <w:rPr>
                <w:rFonts w:ascii="Verdana" w:hAnsi="Verdana"/>
                <w:color w:val="000000"/>
                <w:sz w:val="18"/>
                <w:szCs w:val="18"/>
              </w:rPr>
              <w:t>de bevoegdheid om gedelegeerde handelingen vast te stellen</w:t>
            </w:r>
            <w:r w:rsidRPr="00AB6BD7">
              <w:rPr>
                <w:rFonts w:ascii="Verdana" w:hAnsi="Verdana"/>
                <w:color w:val="000000"/>
                <w:sz w:val="18"/>
                <w:szCs w:val="18"/>
              </w:rPr>
              <w:t xml:space="preserve">. </w:t>
            </w:r>
            <w:r w:rsidRPr="00AB6BD7" w:rsidR="00415A43">
              <w:rPr>
                <w:rFonts w:ascii="Verdana" w:hAnsi="Verdana"/>
                <w:color w:val="000000"/>
                <w:sz w:val="18"/>
                <w:szCs w:val="18"/>
              </w:rPr>
              <w:t>De bevoegdheidsdelegatie wordt stilzwijgend verlengd met termijnen van vijf jaar, tenzij het Europees Parlement of de Raad zich tegen die verlenging verzet.</w:t>
            </w:r>
            <w:r w:rsidRPr="00AB6BD7" w:rsidR="00415A43">
              <w:rPr>
                <w:rFonts w:ascii="Verdana" w:hAnsi="Verdana"/>
                <w:color w:val="000000"/>
                <w:sz w:val="18"/>
                <w:szCs w:val="18"/>
              </w:rPr>
              <w:t xml:space="preserve"> </w:t>
            </w:r>
            <w:r w:rsidRPr="00AB6BD7" w:rsidR="00E40EEC">
              <w:rPr>
                <w:rFonts w:ascii="Verdana" w:hAnsi="Verdana"/>
                <w:color w:val="000000"/>
                <w:sz w:val="18"/>
                <w:szCs w:val="18"/>
              </w:rPr>
              <w:t>De Commissie moet uiterlijk negen maanden voor het einde van elke periode van vijf jaar een verslag opstellen over de wijze waarop zij de haar verleende bevoegdheid heeft uitgeoefend.</w:t>
            </w:r>
            <w:r w:rsidRPr="00AB6BD7" w:rsidR="00E40EEC">
              <w:rPr>
                <w:rFonts w:ascii="Verdana" w:hAnsi="Verdana"/>
                <w:color w:val="000000"/>
                <w:sz w:val="18"/>
                <w:szCs w:val="18"/>
              </w:rPr>
              <w:t xml:space="preserve"> Dit is het derde verslag van de periode 2020-2025</w:t>
            </w:r>
          </w:p>
        </w:tc>
      </w:tr>
    </w:tbl>
    <w:p w:rsidRPr="00AB6BD7" w:rsidR="006C5B02" w:rsidP="006C5B02" w:rsidRDefault="006C5B02" w14:paraId="63E4651C" w14:textId="77777777">
      <w:pPr>
        <w:rPr>
          <w:szCs w:val="18"/>
        </w:rPr>
      </w:pPr>
    </w:p>
    <w:p w:rsidRPr="00AB6BD7" w:rsidR="006C5B02" w:rsidP="006C5B02" w:rsidRDefault="006C5B02" w14:paraId="4C07DFED" w14:textId="77777777">
      <w:pPr>
        <w:rPr>
          <w:szCs w:val="18"/>
        </w:rPr>
      </w:pPr>
    </w:p>
    <w:p w:rsidRPr="00AB6BD7" w:rsidR="006C5B02" w:rsidP="006C5B02" w:rsidRDefault="006C5B02" w14:paraId="6526717E" w14:textId="77777777">
      <w:pPr>
        <w:rPr>
          <w:szCs w:val="18"/>
        </w:rPr>
      </w:pPr>
    </w:p>
    <w:p w:rsidRPr="00AB6BD7" w:rsidR="006C5B02" w:rsidP="006C5B02" w:rsidRDefault="006C5B02" w14:paraId="0EDCEC48" w14:textId="77777777">
      <w:pPr>
        <w:rPr>
          <w:szCs w:val="18"/>
        </w:rPr>
      </w:pPr>
    </w:p>
    <w:p w:rsidRPr="00AB6BD7" w:rsidR="006C5B02" w:rsidP="006C5B02" w:rsidRDefault="006C5B02" w14:paraId="4C614326" w14:textId="77777777">
      <w:pPr>
        <w:rPr>
          <w:szCs w:val="18"/>
        </w:rPr>
      </w:pPr>
    </w:p>
    <w:p w:rsidRPr="00AB6BD7" w:rsidR="006C5B02" w:rsidP="006C5B02" w:rsidRDefault="006C5B02" w14:paraId="4A59DD19"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36366415" w14:paraId="21C5FF22"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Pr="00AB6BD7" w:rsidR="006C5B02" w:rsidP="008541E2" w:rsidRDefault="006C5B02" w14:paraId="7483EF2E" w14:textId="77777777">
            <w:pPr>
              <w:pStyle w:val="Lijstalinea"/>
              <w:numPr>
                <w:ilvl w:val="0"/>
                <w:numId w:val="2"/>
              </w:numPr>
              <w:ind w:left="312"/>
              <w:rPr>
                <w:szCs w:val="18"/>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AB6BD7" w:rsidR="006C5B02" w:rsidP="008541E2" w:rsidRDefault="006C5B02" w14:paraId="047BB585" w14:textId="77777777">
            <w:pPr>
              <w:rPr>
                <w:szCs w:val="18"/>
              </w:rPr>
            </w:pPr>
            <w:r w:rsidRPr="00AB6BD7">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AB6BD7" w:rsidR="006C5B02" w:rsidP="008541E2" w:rsidRDefault="00805C5C" w14:paraId="328B58F9" w14:textId="1D476D09">
            <w:pPr>
              <w:rPr>
                <w:szCs w:val="18"/>
              </w:rPr>
            </w:pPr>
            <w:r w:rsidRPr="00AB6BD7">
              <w:rPr>
                <w:szCs w:val="18"/>
              </w:rPr>
              <w:t>MEDEDELING VAN DE COMMISSIE AAN HET EUROPEES PARLEMENT, DE RAAD, HET EUROPEES ECONOMISCH EN SOCIAAL COMITÉ EN HET COMITÉ VAN DE REGIO'S Consumentenagenda 2030 en actieplan voor consumenten in de interne markt 'Een nieuwe impuls voor consumentenbescherming, concurrentievermogen en duurzame groei'</w:t>
            </w:r>
            <w:r w:rsidRPr="00AB6BD7">
              <w:rPr>
                <w:szCs w:val="18"/>
              </w:rPr>
              <w:t xml:space="preserve"> </w:t>
            </w:r>
            <w:hyperlink w:history="1" r:id="rId11">
              <w:r w:rsidRPr="00AB6BD7" w:rsidR="002E4D30">
                <w:rPr>
                  <w:rStyle w:val="Hyperlink"/>
                  <w:szCs w:val="18"/>
                </w:rPr>
                <w:t>COM(202</w:t>
              </w:r>
              <w:r w:rsidRPr="00AB6BD7" w:rsidR="002E4D30">
                <w:rPr>
                  <w:rStyle w:val="Hyperlink"/>
                  <w:szCs w:val="18"/>
                </w:rPr>
                <w:t>5</w:t>
              </w:r>
              <w:r w:rsidRPr="00AB6BD7" w:rsidR="002E4D30">
                <w:rPr>
                  <w:rStyle w:val="Hyperlink"/>
                  <w:szCs w:val="18"/>
                </w:rPr>
                <w:t>)848</w:t>
              </w:r>
            </w:hyperlink>
          </w:p>
          <w:p w:rsidRPr="00AB6BD7" w:rsidR="002E4D30" w:rsidP="008541E2" w:rsidRDefault="002E4D30" w14:paraId="59627459" w14:textId="77777777">
            <w:pPr>
              <w:rPr>
                <w:szCs w:val="18"/>
              </w:rPr>
            </w:pPr>
          </w:p>
          <w:p w:rsidRPr="00AB6BD7" w:rsidR="006C5B02" w:rsidP="008541E2" w:rsidRDefault="006C5B02" w14:paraId="26E10693" w14:textId="77777777">
            <w:pPr>
              <w:rPr>
                <w:szCs w:val="18"/>
              </w:rPr>
            </w:pPr>
          </w:p>
        </w:tc>
      </w:tr>
      <w:tr w:rsidRPr="00AB6BD7" w:rsidR="006C5B02" w:rsidTr="36366415" w14:paraId="20FFABE3" w14:textId="77777777">
        <w:trPr>
          <w:trHeight w:val="1402"/>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43D98B00"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0BB65C11" w14:textId="77777777">
            <w:pPr>
              <w:rPr>
                <w:szCs w:val="18"/>
              </w:rPr>
            </w:pPr>
            <w:r w:rsidRPr="00AB6BD7">
              <w:rPr>
                <w:szCs w:val="18"/>
              </w:rPr>
              <w:t>Voorstel</w:t>
            </w:r>
          </w:p>
          <w:p w:rsidRPr="00AB6BD7" w:rsidR="006C5B02" w:rsidP="008541E2" w:rsidRDefault="006C5B02" w14:paraId="6DF69C37" w14:textId="77777777">
            <w:pPr>
              <w:rPr>
                <w:szCs w:val="18"/>
              </w:rPr>
            </w:pPr>
          </w:p>
          <w:p w:rsidRPr="00AB6BD7" w:rsidR="00FF2AD2" w:rsidP="008541E2" w:rsidRDefault="00FF2AD2" w14:paraId="1C9612EF" w14:textId="77777777">
            <w:pPr>
              <w:rPr>
                <w:szCs w:val="18"/>
                <w:lang w:val="en-GB"/>
              </w:rPr>
            </w:pPr>
          </w:p>
          <w:p w:rsidRPr="00AB6BD7" w:rsidR="006C5B02" w:rsidP="008541E2" w:rsidRDefault="006C5B02" w14:paraId="28D3D1FC" w14:textId="4A0AD4E4">
            <w:pPr>
              <w:rPr>
                <w:szCs w:val="18"/>
              </w:rPr>
            </w:pPr>
            <w:r w:rsidRPr="00AB6BD7">
              <w:rPr>
                <w:szCs w:val="18"/>
                <w:lang w:val="en-GB"/>
              </w:rPr>
              <w:t>Noot</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AB6BD7" w:rsidR="006C5B02" w:rsidP="36366415" w:rsidRDefault="00AF5F43" w14:paraId="612B6884" w14:textId="266A0C73">
            <w:pPr>
              <w:pStyle w:val="Standaard1"/>
              <w:spacing w:before="0" w:beforeAutospacing="off" w:after="0" w:afterAutospacing="off"/>
              <w:rPr>
                <w:rFonts w:ascii="Verdana" w:hAnsi="Verdana"/>
                <w:color w:val="000000" w:themeColor="text1" w:themeTint="FF" w:themeShade="FF"/>
                <w:sz w:val="18"/>
                <w:szCs w:val="18"/>
              </w:rPr>
            </w:pPr>
            <w:r w:rsidRPr="36366415" w:rsidR="36366415">
              <w:rPr>
                <w:rFonts w:ascii="Verdana" w:hAnsi="Verdana"/>
                <w:color w:val="000000" w:themeColor="text1" w:themeTint="FF" w:themeShade="FF"/>
                <w:sz w:val="18"/>
                <w:szCs w:val="18"/>
              </w:rPr>
              <w:t xml:space="preserve">De appreciatie bij ontvangst agenderen bij het SO voor de Informele Raad van Concurrentievermogen van 2 &amp; 3 februari. </w:t>
            </w:r>
            <w:r w:rsidRPr="36366415" w:rsidR="36366415">
              <w:rPr>
                <w:rFonts w:ascii="Verdana" w:hAnsi="Verdana"/>
                <w:color w:val="000000" w:themeColor="text1" w:themeTint="FF" w:themeShade="FF"/>
                <w:sz w:val="18"/>
                <w:szCs w:val="18"/>
              </w:rPr>
              <w:t xml:space="preserve">Dit </w:t>
            </w:r>
            <w:r w:rsidRPr="36366415" w:rsidR="36366415">
              <w:rPr>
                <w:rFonts w:ascii="Verdana" w:hAnsi="Verdana"/>
                <w:color w:val="000000" w:themeColor="text1" w:themeTint="FF" w:themeShade="FF"/>
                <w:sz w:val="18"/>
                <w:szCs w:val="18"/>
              </w:rPr>
              <w:t>voorstel</w:t>
            </w:r>
            <w:r w:rsidRPr="36366415" w:rsidR="36366415">
              <w:rPr>
                <w:rFonts w:ascii="Verdana" w:hAnsi="Verdana"/>
                <w:color w:val="000000" w:themeColor="text1" w:themeTint="FF" w:themeShade="FF"/>
                <w:sz w:val="18"/>
                <w:szCs w:val="18"/>
              </w:rPr>
              <w:t xml:space="preserve"> is tijdens de procedurevergadering op 25 maart jl. Prioritair </w:t>
            </w:r>
            <w:r w:rsidRPr="36366415" w:rsidR="36366415">
              <w:rPr>
                <w:rFonts w:ascii="Verdana" w:hAnsi="Verdana"/>
                <w:color w:val="000000" w:themeColor="text1" w:themeTint="FF" w:themeShade="FF"/>
                <w:sz w:val="18"/>
                <w:szCs w:val="18"/>
              </w:rPr>
              <w:t>verklaard, z</w:t>
            </w:r>
            <w:r w:rsidRPr="36366415" w:rsidR="36366415">
              <w:rPr>
                <w:rFonts w:ascii="Verdana" w:hAnsi="Verdana"/>
                <w:color w:val="000000" w:themeColor="text1" w:themeTint="FF" w:themeShade="FF"/>
                <w:sz w:val="18"/>
                <w:szCs w:val="18"/>
              </w:rPr>
              <w:t xml:space="preserve">ie </w:t>
            </w:r>
            <w:r w:rsidRPr="36366415" w:rsidR="36366415">
              <w:rPr>
                <w:rFonts w:ascii="Verdana" w:hAnsi="Verdana"/>
                <w:color w:val="000000" w:themeColor="text1" w:themeTint="FF" w:themeShade="FF"/>
                <w:sz w:val="18"/>
                <w:szCs w:val="18"/>
              </w:rPr>
              <w:t xml:space="preserve">ook </w:t>
            </w:r>
            <w:r w:rsidRPr="36366415" w:rsidR="36366415">
              <w:rPr>
                <w:rFonts w:ascii="Verdana" w:hAnsi="Verdana"/>
                <w:color w:val="000000" w:themeColor="text1" w:themeTint="FF" w:themeShade="FF"/>
                <w:sz w:val="18"/>
                <w:szCs w:val="18"/>
              </w:rPr>
              <w:t xml:space="preserve">behandelnotitie. </w:t>
            </w:r>
          </w:p>
          <w:p w:rsidRPr="00AB6BD7" w:rsidR="00FF2AD2" w:rsidP="008541E2" w:rsidRDefault="00FF2AD2" w14:paraId="62860215" w14:textId="77777777">
            <w:pPr>
              <w:pStyle w:val="Standaard1"/>
              <w:spacing w:before="0" w:beforeAutospacing="0" w:after="0" w:afterAutospacing="0"/>
              <w:rPr>
                <w:rFonts w:ascii="Verdana" w:hAnsi="Verdana"/>
                <w:color w:val="000000"/>
                <w:sz w:val="18"/>
                <w:szCs w:val="18"/>
              </w:rPr>
            </w:pPr>
          </w:p>
          <w:p w:rsidRPr="00AB6BD7" w:rsidR="00F046D5" w:rsidP="00F046D5" w:rsidRDefault="00AF5F43" w14:paraId="27442BB5" w14:textId="77777777">
            <w:pPr>
              <w:spacing w:after="160" w:line="276" w:lineRule="auto"/>
              <w:rPr>
                <w:szCs w:val="18"/>
              </w:rPr>
            </w:pPr>
            <w:r w:rsidRPr="00AB6BD7">
              <w:rPr>
                <w:szCs w:val="18"/>
              </w:rPr>
              <w:t>De Europese consumentenagenda 2030 is de strategische visie van de EC op het consumentenbeleid van 2025 – 2030</w:t>
            </w:r>
            <w:r w:rsidRPr="00AB6BD7">
              <w:rPr>
                <w:szCs w:val="18"/>
              </w:rPr>
              <w:t xml:space="preserve">. </w:t>
            </w:r>
            <w:r w:rsidRPr="00AB6BD7" w:rsidR="00341700">
              <w:rPr>
                <w:szCs w:val="18"/>
              </w:rPr>
              <w:t xml:space="preserve">Onderdeel van </w:t>
            </w:r>
            <w:r w:rsidRPr="00AB6BD7" w:rsidR="00341700">
              <w:rPr>
                <w:szCs w:val="18"/>
              </w:rPr>
              <w:lastRenderedPageBreak/>
              <w:t xml:space="preserve">de consumentenagenda is het actieplan voor consumenten in de interne markt, dat een aanvulling vormt op vormt op de maatregelen die zijn opgenomen in de </w:t>
            </w:r>
            <w:r w:rsidRPr="00AB6BD7" w:rsidR="00341700">
              <w:rPr>
                <w:szCs w:val="18"/>
              </w:rPr>
              <w:t>strategie voor de interne markt</w:t>
            </w:r>
            <w:r w:rsidRPr="00AB6BD7" w:rsidR="00341700">
              <w:rPr>
                <w:szCs w:val="18"/>
              </w:rPr>
              <w:t xml:space="preserve"> en de aangekondigde routekaart voor de interne markt tot 2028</w:t>
            </w:r>
            <w:r w:rsidRPr="00AB6BD7" w:rsidR="00092141">
              <w:rPr>
                <w:szCs w:val="18"/>
              </w:rPr>
              <w:t xml:space="preserve">. </w:t>
            </w:r>
            <w:r w:rsidRPr="00AB6BD7" w:rsidR="001F2313">
              <w:rPr>
                <w:szCs w:val="18"/>
              </w:rPr>
              <w:t>De agenda is gericht op het versterken van de consumentenbescherming, het concurrentievermogen en duurzame groei</w:t>
            </w:r>
            <w:r w:rsidRPr="00AB6BD7" w:rsidR="00F046D5">
              <w:rPr>
                <w:szCs w:val="18"/>
              </w:rPr>
              <w:t xml:space="preserve"> en </w:t>
            </w:r>
            <w:r w:rsidRPr="00AB6BD7" w:rsidR="00F046D5">
              <w:rPr>
                <w:szCs w:val="18"/>
              </w:rPr>
              <w:t>de interne markt voor consumenten voltooien, digitale rechtvaardigheid en consumentenbescherming online versterken, duurzame consumptie bevorderen en effectieve handhaving garanderen.</w:t>
            </w:r>
          </w:p>
          <w:p w:rsidRPr="00AB6BD7" w:rsidR="001F2313" w:rsidP="001F2313" w:rsidRDefault="001F2313" w14:paraId="3BD75A50" w14:textId="7D4D78D2">
            <w:pPr>
              <w:spacing w:after="160" w:line="276" w:lineRule="auto"/>
              <w:rPr>
                <w:szCs w:val="18"/>
              </w:rPr>
            </w:pPr>
          </w:p>
          <w:p w:rsidRPr="00AB6BD7" w:rsidR="00341700" w:rsidP="00341700" w:rsidRDefault="00341700" w14:paraId="4ACA5BFD" w14:textId="4FB08D2C">
            <w:pPr>
              <w:spacing w:after="160" w:line="276" w:lineRule="auto"/>
              <w:rPr>
                <w:szCs w:val="18"/>
              </w:rPr>
            </w:pPr>
          </w:p>
          <w:p w:rsidRPr="00AB6BD7" w:rsidR="00AF5F43" w:rsidP="00AF5F43" w:rsidRDefault="00AF5F43" w14:paraId="6542974B" w14:textId="5037D4FF">
            <w:pPr>
              <w:spacing w:after="160" w:line="276" w:lineRule="auto"/>
              <w:rPr>
                <w:b/>
                <w:szCs w:val="18"/>
              </w:rPr>
            </w:pPr>
          </w:p>
          <w:p w:rsidRPr="00AB6BD7" w:rsidR="00FF2AD2" w:rsidP="008541E2" w:rsidRDefault="00FF2AD2" w14:paraId="6A0269A1" w14:textId="5E4B4528">
            <w:pPr>
              <w:pStyle w:val="Standaard1"/>
              <w:spacing w:before="0" w:beforeAutospacing="0" w:after="0" w:afterAutospacing="0"/>
              <w:rPr>
                <w:rFonts w:ascii="Verdana" w:hAnsi="Verdana"/>
                <w:color w:val="000000"/>
                <w:sz w:val="18"/>
                <w:szCs w:val="18"/>
              </w:rPr>
            </w:pPr>
          </w:p>
          <w:p w:rsidRPr="00AB6BD7" w:rsidR="00F70F42" w:rsidP="008541E2" w:rsidRDefault="00F70F42" w14:paraId="15BC18EB" w14:textId="77777777">
            <w:pPr>
              <w:pStyle w:val="Standaard1"/>
              <w:spacing w:before="0" w:beforeAutospacing="0" w:after="0" w:afterAutospacing="0"/>
              <w:rPr>
                <w:rFonts w:ascii="Verdana" w:hAnsi="Verdana"/>
                <w:color w:val="000000"/>
                <w:sz w:val="18"/>
                <w:szCs w:val="18"/>
              </w:rPr>
            </w:pPr>
          </w:p>
          <w:p w:rsidRPr="00AB6BD7" w:rsidR="006C5B02" w:rsidP="008541E2" w:rsidRDefault="006C5B02" w14:paraId="59558417" w14:textId="77777777">
            <w:pPr>
              <w:pStyle w:val="Standaard1"/>
              <w:spacing w:before="0" w:beforeAutospacing="0" w:after="0" w:afterAutospacing="0"/>
              <w:rPr>
                <w:rFonts w:ascii="Verdana" w:hAnsi="Verdana"/>
                <w:color w:val="000000"/>
                <w:sz w:val="18"/>
                <w:szCs w:val="18"/>
              </w:rPr>
            </w:pPr>
          </w:p>
          <w:p w:rsidRPr="00AB6BD7" w:rsidR="006C5B02" w:rsidP="008541E2" w:rsidRDefault="006C5B02" w14:paraId="40B95506" w14:textId="3116682E">
            <w:pPr>
              <w:pStyle w:val="Standaard1"/>
              <w:spacing w:before="0" w:beforeAutospacing="0" w:after="0" w:afterAutospacing="0"/>
              <w:rPr>
                <w:rFonts w:ascii="Verdana" w:hAnsi="Verdana"/>
                <w:color w:val="000000"/>
                <w:sz w:val="18"/>
                <w:szCs w:val="18"/>
              </w:rPr>
            </w:pPr>
          </w:p>
        </w:tc>
      </w:tr>
    </w:tbl>
    <w:p w:rsidRPr="00AB6BD7" w:rsidR="006C5B02" w:rsidP="006C5B02" w:rsidRDefault="006C5B02" w14:paraId="0B71DBBD" w14:textId="77777777">
      <w:pPr>
        <w:rPr>
          <w:szCs w:val="18"/>
        </w:rPr>
      </w:pPr>
    </w:p>
    <w:p w:rsidRPr="00AB6BD7" w:rsidR="006C5B02" w:rsidP="006C5B02" w:rsidRDefault="006C5B02" w14:paraId="2A07A4F3" w14:textId="77777777">
      <w:pPr>
        <w:rPr>
          <w:szCs w:val="18"/>
        </w:rPr>
      </w:pPr>
    </w:p>
    <w:p w:rsidRPr="00AB6BD7" w:rsidR="006C5B02" w:rsidP="006C5B02" w:rsidRDefault="006C5B02" w14:paraId="024FB61A"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2284EB4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4709C349"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5C959812"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6BD7" w:rsidR="006C5B02" w:rsidP="008541E2" w:rsidRDefault="0040695E" w14:paraId="486C57F6" w14:textId="79F1D394">
            <w:pPr>
              <w:rPr>
                <w:szCs w:val="18"/>
              </w:rPr>
            </w:pPr>
            <w:r w:rsidRPr="00AB6BD7">
              <w:rPr>
                <w:szCs w:val="18"/>
              </w:rPr>
              <w:t xml:space="preserve">MEDEDELING VAN DE COMMISSIE AAN HET EUROPEES PARLEMENT overeenkomstig artikel 294, lid 6, van het Verdrag betreffende de werking van de Europese Unie over het standpunt van de Raad over de vaststelling van een richtlijn tot wijziging van Richtlijn 2013/11/EU betreffende alternatieve beslechting van consumentengeschillen, en van de Richtlijnen (EU) 2015/2302, (EU) 2019/2161 en (EU) 2020/1828 na de stopzetting van het Europees platform voor onlinegeschillenbeslechting </w:t>
            </w:r>
            <w:hyperlink w:history="1" r:id="rId12">
              <w:r w:rsidRPr="00AB6BD7">
                <w:rPr>
                  <w:rStyle w:val="Hyperlink"/>
                  <w:szCs w:val="18"/>
                </w:rPr>
                <w:t>COM</w:t>
              </w:r>
              <w:r w:rsidRPr="00AB6BD7">
                <w:rPr>
                  <w:rStyle w:val="Hyperlink"/>
                  <w:szCs w:val="18"/>
                </w:rPr>
                <w:t>(</w:t>
              </w:r>
              <w:r w:rsidRPr="00AB6BD7">
                <w:rPr>
                  <w:rStyle w:val="Hyperlink"/>
                  <w:szCs w:val="18"/>
                </w:rPr>
                <w:t>2025)742</w:t>
              </w:r>
            </w:hyperlink>
          </w:p>
          <w:p w:rsidRPr="00AB6BD7" w:rsidR="0040695E" w:rsidP="008541E2" w:rsidRDefault="0040695E" w14:paraId="1D58FEF6" w14:textId="77777777">
            <w:pPr>
              <w:rPr>
                <w:szCs w:val="18"/>
              </w:rPr>
            </w:pPr>
          </w:p>
          <w:p w:rsidRPr="00AB6BD7" w:rsidR="006C5B02" w:rsidP="008541E2" w:rsidRDefault="006C5B02" w14:paraId="7F7765AF" w14:textId="77777777">
            <w:pPr>
              <w:rPr>
                <w:szCs w:val="18"/>
              </w:rPr>
            </w:pPr>
          </w:p>
        </w:tc>
      </w:tr>
      <w:tr w:rsidRPr="00AB6BD7" w:rsidR="006C5B02" w:rsidTr="00702372" w14:paraId="4292F602" w14:textId="77777777">
        <w:trPr>
          <w:trHeight w:val="853"/>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6043C535"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22F17319" w14:textId="77777777">
            <w:pPr>
              <w:rPr>
                <w:szCs w:val="18"/>
              </w:rPr>
            </w:pPr>
            <w:r w:rsidRPr="00AB6BD7">
              <w:rPr>
                <w:szCs w:val="18"/>
              </w:rPr>
              <w:t>Voorstel</w:t>
            </w:r>
          </w:p>
          <w:p w:rsidRPr="00AB6BD7" w:rsidR="006C5B02" w:rsidP="008541E2" w:rsidRDefault="006C5B02" w14:paraId="23D94EB1" w14:textId="77777777">
            <w:pPr>
              <w:rPr>
                <w:szCs w:val="18"/>
              </w:rPr>
            </w:pPr>
          </w:p>
          <w:p w:rsidRPr="00AB6BD7" w:rsidR="006C5B02" w:rsidP="008541E2" w:rsidRDefault="006C5B02" w14:paraId="62AC9026" w14:textId="77777777">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6C5B02" w:rsidP="008541E2" w:rsidRDefault="006C5B02" w14:paraId="1122F652" w14:textId="77777777">
            <w:pPr>
              <w:pStyle w:val="Standaard1"/>
              <w:spacing w:after="0" w:afterAutospacing="0"/>
              <w:rPr>
                <w:rFonts w:ascii="Verdana" w:hAnsi="Verdana"/>
                <w:color w:val="000000"/>
                <w:sz w:val="18"/>
                <w:szCs w:val="18"/>
              </w:rPr>
            </w:pPr>
            <w:r w:rsidRPr="00AB6BD7">
              <w:rPr>
                <w:rFonts w:ascii="Verdana" w:hAnsi="Verdana"/>
                <w:color w:val="000000"/>
                <w:sz w:val="18"/>
                <w:szCs w:val="18"/>
              </w:rPr>
              <w:t>Ter informatie</w:t>
            </w:r>
          </w:p>
          <w:p w:rsidRPr="00AB6BD7" w:rsidR="006C5B02" w:rsidP="008541E2" w:rsidRDefault="006C5B02" w14:paraId="05506C94" w14:textId="77777777">
            <w:pPr>
              <w:pStyle w:val="Standaard1"/>
              <w:spacing w:before="0" w:beforeAutospacing="0" w:after="0" w:afterAutospacing="0"/>
              <w:rPr>
                <w:rFonts w:ascii="Verdana" w:hAnsi="Verdana"/>
                <w:color w:val="000000"/>
                <w:sz w:val="18"/>
                <w:szCs w:val="18"/>
              </w:rPr>
            </w:pPr>
          </w:p>
          <w:p w:rsidRPr="00AB6BD7" w:rsidR="006C5B02" w:rsidP="008541E2" w:rsidRDefault="00AB6BD7" w14:paraId="7962137F" w14:textId="556372F4">
            <w:pPr>
              <w:pStyle w:val="Standaard1"/>
              <w:spacing w:before="0" w:beforeAutospacing="0" w:after="0" w:afterAutospacing="0"/>
              <w:rPr>
                <w:rFonts w:ascii="Verdana" w:hAnsi="Verdana"/>
                <w:color w:val="000000"/>
                <w:sz w:val="18"/>
                <w:szCs w:val="18"/>
              </w:rPr>
            </w:pPr>
            <w:r w:rsidRPr="00AB6BD7">
              <w:rPr>
                <w:rFonts w:ascii="Verdana" w:hAnsi="Verdana"/>
                <w:color w:val="000000"/>
                <w:sz w:val="18"/>
                <w:szCs w:val="18"/>
              </w:rPr>
              <w:t xml:space="preserve">Dit betreft </w:t>
            </w:r>
            <w:r w:rsidR="00702372">
              <w:rPr>
                <w:rFonts w:ascii="Verdana" w:hAnsi="Verdana"/>
                <w:color w:val="000000"/>
                <w:sz w:val="18"/>
                <w:szCs w:val="18"/>
              </w:rPr>
              <w:t xml:space="preserve">een </w:t>
            </w:r>
            <w:r w:rsidRPr="00AB6BD7">
              <w:rPr>
                <w:rFonts w:ascii="Verdana" w:hAnsi="Verdana"/>
                <w:color w:val="000000"/>
                <w:sz w:val="18"/>
                <w:szCs w:val="18"/>
              </w:rPr>
              <w:t xml:space="preserve">standpunt dat de Raad heeft ingenomen m.b.t. </w:t>
            </w:r>
            <w:r>
              <w:rPr>
                <w:rFonts w:ascii="Verdana" w:hAnsi="Verdana"/>
                <w:color w:val="000000"/>
                <w:sz w:val="18"/>
                <w:szCs w:val="18"/>
              </w:rPr>
              <w:t xml:space="preserve">de </w:t>
            </w:r>
            <w:r w:rsidR="00702372">
              <w:rPr>
                <w:rFonts w:ascii="Verdana" w:hAnsi="Verdana"/>
                <w:color w:val="000000"/>
                <w:sz w:val="18"/>
                <w:szCs w:val="18"/>
              </w:rPr>
              <w:t>herziening van de hierboven genoemde richtlijnen</w:t>
            </w:r>
            <w:r w:rsidR="00387891">
              <w:rPr>
                <w:rFonts w:ascii="Verdana" w:hAnsi="Verdana"/>
                <w:color w:val="000000"/>
                <w:sz w:val="18"/>
                <w:szCs w:val="18"/>
              </w:rPr>
              <w:t>.</w:t>
            </w:r>
            <w:r w:rsidR="0053708F">
              <w:rPr>
                <w:rFonts w:ascii="Verdana" w:hAnsi="Verdana"/>
                <w:color w:val="000000"/>
                <w:sz w:val="18"/>
                <w:szCs w:val="18"/>
              </w:rPr>
              <w:t xml:space="preserve"> </w:t>
            </w:r>
            <w:r w:rsidR="00387891">
              <w:rPr>
                <w:rFonts w:ascii="Verdana" w:hAnsi="Verdana"/>
                <w:color w:val="000000"/>
                <w:sz w:val="18"/>
                <w:szCs w:val="18"/>
              </w:rPr>
              <w:t xml:space="preserve">Kort samengevat </w:t>
            </w:r>
            <w:r w:rsidR="002E66F8">
              <w:rPr>
                <w:rFonts w:ascii="Verdana" w:hAnsi="Verdana"/>
                <w:color w:val="000000"/>
                <w:sz w:val="18"/>
                <w:szCs w:val="18"/>
              </w:rPr>
              <w:t>is het standpunt van</w:t>
            </w:r>
            <w:r w:rsidR="00387891">
              <w:rPr>
                <w:rFonts w:ascii="Verdana" w:hAnsi="Verdana"/>
                <w:color w:val="000000"/>
                <w:sz w:val="18"/>
                <w:szCs w:val="18"/>
              </w:rPr>
              <w:t xml:space="preserve"> de Raad </w:t>
            </w:r>
            <w:r w:rsidRPr="00387891" w:rsidR="00387891">
              <w:rPr>
                <w:rFonts w:ascii="Verdana" w:hAnsi="Verdana"/>
                <w:color w:val="000000"/>
                <w:sz w:val="18"/>
                <w:szCs w:val="18"/>
              </w:rPr>
              <w:t>dat de regels voor alternatieve geschillenbeslechting (ADR) tussen consumenten en ondernemers</w:t>
            </w:r>
            <w:r w:rsidR="00387891">
              <w:rPr>
                <w:rFonts w:ascii="Verdana" w:hAnsi="Verdana"/>
                <w:color w:val="000000"/>
                <w:sz w:val="18"/>
                <w:szCs w:val="18"/>
              </w:rPr>
              <w:t xml:space="preserve"> </w:t>
            </w:r>
            <w:r w:rsidRPr="00387891" w:rsidR="00387891">
              <w:rPr>
                <w:rFonts w:ascii="Verdana" w:hAnsi="Verdana"/>
                <w:color w:val="000000"/>
                <w:sz w:val="18"/>
                <w:szCs w:val="18"/>
              </w:rPr>
              <w:t>worden gemoderniseerd en uitgebreid. Het toepassingsgebied wordt vergroot, ondernemers moeten binnen een vaste termijn reageren op ADR-verzoeken, lidstaten moeten deelname stimuleren (en eventueel verplichten in probleemsectoren), en er komen duidelijke regels over het gebruik van geautomatiseerde besluitvorming. Daarnaast worden rapportageverplichtingen vereenvoudigd en worden toezicht en samenwerking met autoriteiten versterkt.</w:t>
            </w:r>
          </w:p>
        </w:tc>
      </w:tr>
    </w:tbl>
    <w:p w:rsidRPr="00AB6BD7" w:rsidR="006C5B02" w:rsidP="006C5B02" w:rsidRDefault="006C5B02" w14:paraId="1AF482C5" w14:textId="77777777">
      <w:pPr>
        <w:tabs>
          <w:tab w:val="left" w:pos="6511"/>
        </w:tabs>
        <w:rPr>
          <w:szCs w:val="18"/>
        </w:rPr>
      </w:pPr>
    </w:p>
    <w:p w:rsidRPr="00AB6BD7" w:rsidR="006C5B02" w:rsidP="006C5B02" w:rsidRDefault="006C5B02" w14:paraId="31498374" w14:textId="77777777">
      <w:pPr>
        <w:tabs>
          <w:tab w:val="left" w:pos="6511"/>
        </w:tabs>
        <w:rPr>
          <w:szCs w:val="18"/>
        </w:rPr>
      </w:pPr>
    </w:p>
    <w:p w:rsidRPr="00AB6BD7" w:rsidR="006C5B02" w:rsidP="006C5B02" w:rsidRDefault="006C5B02" w14:paraId="6C44C258" w14:textId="77777777">
      <w:pPr>
        <w:tabs>
          <w:tab w:val="left" w:pos="6511"/>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0E5FF079"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24E09591"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56D6AF38"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6BD7" w:rsidR="006C5B02" w:rsidP="008541E2" w:rsidRDefault="00B54294" w14:paraId="5ACCC6B3" w14:textId="1516F136">
            <w:pPr>
              <w:rPr>
                <w:szCs w:val="18"/>
              </w:rPr>
            </w:pPr>
            <w:r w:rsidRPr="00AB6BD7">
              <w:rPr>
                <w:szCs w:val="18"/>
              </w:rPr>
              <w:t xml:space="preserve">VERSLAG VAN DE COMMISSIE AAN HET EUROPEES PARLEMENT EN DE RAAD over de uitoefening van de bevoegdheid tot het vaststellen van gedelegeerde handelingen die aan de Commissie is verleend bij Verordening (EU) nr. 692/2011 van het Europees </w:t>
            </w:r>
            <w:r w:rsidRPr="00AB6BD7">
              <w:rPr>
                <w:szCs w:val="18"/>
              </w:rPr>
              <w:lastRenderedPageBreak/>
              <w:t xml:space="preserve">Parlement en de Raad betreffende Europese statistieken over toerisme </w:t>
            </w:r>
            <w:hyperlink w:history="1" r:id="rId13">
              <w:r w:rsidRPr="00AB6BD7">
                <w:rPr>
                  <w:rStyle w:val="Hyperlink"/>
                  <w:szCs w:val="18"/>
                </w:rPr>
                <w:t>COM(2025)729</w:t>
              </w:r>
            </w:hyperlink>
          </w:p>
          <w:p w:rsidRPr="00AB6BD7" w:rsidR="00B54294" w:rsidP="008541E2" w:rsidRDefault="00B54294" w14:paraId="66D17DD6" w14:textId="77777777">
            <w:pPr>
              <w:rPr>
                <w:szCs w:val="18"/>
              </w:rPr>
            </w:pPr>
          </w:p>
          <w:p w:rsidRPr="00AB6BD7" w:rsidR="006C5B02" w:rsidP="008541E2" w:rsidRDefault="006C5B02" w14:paraId="7CEF9624" w14:textId="77777777">
            <w:pPr>
              <w:rPr>
                <w:szCs w:val="18"/>
              </w:rPr>
            </w:pPr>
          </w:p>
        </w:tc>
      </w:tr>
      <w:tr w:rsidRPr="00AB6BD7" w:rsidR="006C5B02" w:rsidTr="008541E2" w14:paraId="27131E0C" w14:textId="77777777">
        <w:trPr>
          <w:trHeight w:val="50"/>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1198FC25"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350DD509" w14:textId="77777777">
            <w:pPr>
              <w:rPr>
                <w:szCs w:val="18"/>
              </w:rPr>
            </w:pPr>
            <w:r w:rsidRPr="00AB6BD7">
              <w:rPr>
                <w:szCs w:val="18"/>
              </w:rPr>
              <w:t>Voorstel</w:t>
            </w:r>
          </w:p>
          <w:p w:rsidRPr="00AB6BD7" w:rsidR="006C5B02" w:rsidP="008541E2" w:rsidRDefault="006C5B02" w14:paraId="6EB27995" w14:textId="77777777">
            <w:pPr>
              <w:rPr>
                <w:szCs w:val="18"/>
              </w:rPr>
            </w:pPr>
          </w:p>
          <w:p w:rsidRPr="00AB6BD7" w:rsidR="006C5B02" w:rsidP="008541E2" w:rsidRDefault="006C5B02" w14:paraId="4FEF35A0" w14:textId="77777777">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6C5B02" w:rsidP="008541E2" w:rsidRDefault="006C5B02" w14:paraId="26E91591" w14:textId="77777777">
            <w:pPr>
              <w:pStyle w:val="Standaard1"/>
              <w:spacing w:after="0" w:afterAutospacing="0"/>
              <w:rPr>
                <w:rFonts w:ascii="Verdana" w:hAnsi="Verdana"/>
                <w:color w:val="000000"/>
                <w:sz w:val="18"/>
                <w:szCs w:val="18"/>
              </w:rPr>
            </w:pPr>
            <w:r w:rsidRPr="00AB6BD7">
              <w:rPr>
                <w:rFonts w:ascii="Verdana" w:hAnsi="Verdana"/>
                <w:color w:val="000000"/>
                <w:sz w:val="18"/>
                <w:szCs w:val="18"/>
              </w:rPr>
              <w:t>Ter informatie</w:t>
            </w:r>
          </w:p>
          <w:p w:rsidRPr="00AB6BD7" w:rsidR="006C5B02" w:rsidP="008541E2" w:rsidRDefault="006C5B02" w14:paraId="56ED185E" w14:textId="77777777">
            <w:pPr>
              <w:pStyle w:val="Standaard1"/>
              <w:spacing w:before="0" w:beforeAutospacing="0" w:after="0" w:afterAutospacing="0"/>
              <w:rPr>
                <w:rFonts w:ascii="Verdana" w:hAnsi="Verdana"/>
                <w:color w:val="000000"/>
                <w:sz w:val="18"/>
                <w:szCs w:val="18"/>
              </w:rPr>
            </w:pPr>
          </w:p>
          <w:p w:rsidRPr="00AB6BD7" w:rsidR="006C5B02" w:rsidP="008541E2" w:rsidRDefault="008404EE" w14:paraId="60CCACEE" w14:textId="653FF8B6">
            <w:pPr>
              <w:pStyle w:val="Standaard1"/>
              <w:spacing w:before="0" w:beforeAutospacing="0" w:after="0" w:afterAutospacing="0"/>
              <w:rPr>
                <w:rFonts w:ascii="Verdana" w:hAnsi="Verdana"/>
                <w:color w:val="000000"/>
                <w:sz w:val="18"/>
                <w:szCs w:val="18"/>
              </w:rPr>
            </w:pPr>
            <w:r>
              <w:rPr>
                <w:rFonts w:ascii="Verdana" w:hAnsi="Verdana"/>
                <w:color w:val="000000"/>
                <w:sz w:val="18"/>
                <w:szCs w:val="18"/>
              </w:rPr>
              <w:t>D</w:t>
            </w:r>
            <w:r w:rsidR="00465DA1">
              <w:rPr>
                <w:rFonts w:ascii="Verdana" w:hAnsi="Verdana"/>
                <w:color w:val="000000"/>
                <w:sz w:val="18"/>
                <w:szCs w:val="18"/>
              </w:rPr>
              <w:t>e verordening</w:t>
            </w:r>
            <w:r w:rsidRPr="00AB6BD7" w:rsidR="00AA7ADB">
              <w:rPr>
                <w:rFonts w:ascii="Verdana" w:hAnsi="Verdana"/>
                <w:color w:val="000000"/>
                <w:sz w:val="18"/>
                <w:szCs w:val="18"/>
              </w:rPr>
              <w:t xml:space="preserve"> </w:t>
            </w:r>
            <w:r w:rsidR="00465DA1">
              <w:rPr>
                <w:rFonts w:ascii="Verdana" w:hAnsi="Verdana"/>
                <w:color w:val="000000"/>
                <w:sz w:val="18"/>
                <w:szCs w:val="18"/>
              </w:rPr>
              <w:t xml:space="preserve">betreffende </w:t>
            </w:r>
            <w:r w:rsidRPr="00465DA1" w:rsidR="00465DA1">
              <w:rPr>
                <w:rFonts w:ascii="Verdana" w:hAnsi="Verdana"/>
                <w:color w:val="000000"/>
                <w:sz w:val="18"/>
                <w:szCs w:val="18"/>
              </w:rPr>
              <w:t>Europese statistieken over toerisme</w:t>
            </w:r>
            <w:r w:rsidR="00465DA1">
              <w:rPr>
                <w:rFonts w:ascii="Verdana" w:hAnsi="Verdana"/>
                <w:color w:val="000000"/>
                <w:sz w:val="18"/>
                <w:szCs w:val="18"/>
              </w:rPr>
              <w:t xml:space="preserve"> </w:t>
            </w:r>
            <w:r>
              <w:rPr>
                <w:rFonts w:ascii="Verdana" w:hAnsi="Verdana"/>
                <w:color w:val="000000"/>
                <w:sz w:val="18"/>
                <w:szCs w:val="18"/>
              </w:rPr>
              <w:t xml:space="preserve">verleent </w:t>
            </w:r>
            <w:r w:rsidRPr="00AB6BD7" w:rsidR="00AA7ADB">
              <w:rPr>
                <w:rFonts w:ascii="Verdana" w:hAnsi="Verdana"/>
                <w:color w:val="000000"/>
                <w:sz w:val="18"/>
                <w:szCs w:val="18"/>
              </w:rPr>
              <w:t xml:space="preserve">de EC de bevoegdheid om </w:t>
            </w:r>
            <w:r>
              <w:rPr>
                <w:rFonts w:ascii="Verdana" w:hAnsi="Verdana"/>
                <w:color w:val="000000"/>
                <w:sz w:val="18"/>
                <w:szCs w:val="18"/>
              </w:rPr>
              <w:t xml:space="preserve">bepaalde </w:t>
            </w:r>
            <w:r w:rsidRPr="00AB6BD7" w:rsidR="00AA7ADB">
              <w:rPr>
                <w:rFonts w:ascii="Verdana" w:hAnsi="Verdana"/>
                <w:color w:val="000000"/>
                <w:sz w:val="18"/>
                <w:szCs w:val="18"/>
              </w:rPr>
              <w:t>gedelegeerde handelingen vast te stellen. De bevoegdheidsdelegatie wordt stilzwijgend verlengd met termijnen van vijf jaar, tenzij het Europees Parlement of de Raad zich tegen die verlenging verzet. De Commissie moet uiterlijk negen maanden voor het einde van elke periode van vijf jaar een verslag opstellen over de wijze waarop zij de haar verleende bevoegdheid heeft uitgeoefend</w:t>
            </w:r>
            <w:r w:rsidR="007F07DA">
              <w:rPr>
                <w:rFonts w:ascii="Verdana" w:hAnsi="Verdana"/>
                <w:color w:val="000000"/>
                <w:sz w:val="18"/>
                <w:szCs w:val="18"/>
              </w:rPr>
              <w:t xml:space="preserve">. Dit is dat verslag. </w:t>
            </w:r>
          </w:p>
        </w:tc>
      </w:tr>
    </w:tbl>
    <w:p w:rsidRPr="00AB6BD7" w:rsidR="006C5B02" w:rsidP="006C5B02" w:rsidRDefault="006C5B02" w14:paraId="2374884E" w14:textId="77777777">
      <w:pPr>
        <w:tabs>
          <w:tab w:val="left" w:pos="6511"/>
        </w:tabs>
        <w:rPr>
          <w:szCs w:val="18"/>
        </w:rPr>
      </w:pPr>
    </w:p>
    <w:p w:rsidRPr="00AB6BD7" w:rsidR="006C5B02" w:rsidP="006C5B02" w:rsidRDefault="006C5B02" w14:paraId="489DD8ED" w14:textId="77777777">
      <w:pPr>
        <w:tabs>
          <w:tab w:val="left" w:pos="6511"/>
        </w:tabs>
        <w:rPr>
          <w:szCs w:val="18"/>
        </w:rPr>
      </w:pPr>
    </w:p>
    <w:p w:rsidRPr="00AB6BD7" w:rsidR="006C5B02" w:rsidP="006C5B02" w:rsidRDefault="006C5B02" w14:paraId="6A97C59A" w14:textId="77777777">
      <w:pPr>
        <w:tabs>
          <w:tab w:val="left" w:pos="6511"/>
        </w:tabs>
        <w:rPr>
          <w:szCs w:val="18"/>
        </w:rPr>
      </w:pPr>
    </w:p>
    <w:p w:rsidRPr="00AB6BD7" w:rsidR="006C5B02" w:rsidP="006C5B02" w:rsidRDefault="006C5B02" w14:paraId="5B84860D" w14:textId="77777777">
      <w:pPr>
        <w:tabs>
          <w:tab w:val="left" w:pos="6511"/>
        </w:tabs>
        <w:rPr>
          <w:szCs w:val="18"/>
        </w:rPr>
      </w:pPr>
    </w:p>
    <w:p w:rsidRPr="00AB6BD7" w:rsidR="006C5B02" w:rsidP="006C5B02" w:rsidRDefault="006C5B02" w14:paraId="06178A27" w14:textId="77777777">
      <w:pPr>
        <w:tabs>
          <w:tab w:val="left" w:pos="6511"/>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AB6BD7" w:rsidR="006C5B02" w:rsidTr="008541E2" w14:paraId="455F206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6C5B02" w:rsidP="008541E2" w:rsidRDefault="006C5B02" w14:paraId="501B9D15"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6C5B02" w:rsidP="008541E2" w:rsidRDefault="006C5B02" w14:paraId="4E662132"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B6BD7" w:rsidR="006C5B02" w:rsidP="008541E2" w:rsidRDefault="00B54294" w14:paraId="3F144A97" w14:textId="69BAA7B1">
            <w:pPr>
              <w:rPr>
                <w:rFonts w:eastAsiaTheme="minorHAnsi"/>
                <w:szCs w:val="18"/>
              </w:rPr>
            </w:pPr>
            <w:r w:rsidRPr="00AB6BD7">
              <w:rPr>
                <w:rFonts w:eastAsiaTheme="minorHAnsi"/>
                <w:szCs w:val="18"/>
              </w:rPr>
              <w:t xml:space="preserve">MEDEDELING VAN DE COMMISSIE AAN HET EUROPEES PARLEMENT, DE RAAD, DE EUROPESE CENTRALE BANK, HET EUROPEES ECONOMISCH EN SOCIAAL COMITÉ, HET COMITÉ VAN DE REGIO'S EN DE EUROPESE INVESTERINGSBANK Europees Semester 2026 - </w:t>
            </w:r>
            <w:proofErr w:type="spellStart"/>
            <w:r w:rsidRPr="00AB6BD7">
              <w:rPr>
                <w:rFonts w:eastAsiaTheme="minorHAnsi"/>
                <w:szCs w:val="18"/>
              </w:rPr>
              <w:t>Najaarspakket</w:t>
            </w:r>
            <w:proofErr w:type="spellEnd"/>
            <w:r w:rsidRPr="00AB6BD7">
              <w:rPr>
                <w:rFonts w:eastAsiaTheme="minorHAnsi"/>
                <w:szCs w:val="18"/>
              </w:rPr>
              <w:t xml:space="preserve"> Verwezenlijking van het kompas voor concurrentievermogen: doorgaan met hervormingen en investeringen </w:t>
            </w:r>
            <w:hyperlink w:history="1" r:id="rId14">
              <w:r w:rsidRPr="00AB6BD7">
                <w:rPr>
                  <w:rStyle w:val="Hyperlink"/>
                  <w:rFonts w:eastAsiaTheme="minorHAnsi"/>
                  <w:szCs w:val="18"/>
                </w:rPr>
                <w:t>COM(2025)955</w:t>
              </w:r>
            </w:hyperlink>
          </w:p>
          <w:p w:rsidRPr="00AB6BD7" w:rsidR="006C5B02" w:rsidP="008541E2" w:rsidRDefault="006C5B02" w14:paraId="087E4B04" w14:textId="77777777">
            <w:pPr>
              <w:rPr>
                <w:szCs w:val="18"/>
              </w:rPr>
            </w:pPr>
          </w:p>
          <w:p w:rsidRPr="00AB6BD7" w:rsidR="006C5B02" w:rsidP="008541E2" w:rsidRDefault="006C5B02" w14:paraId="701088DB" w14:textId="77777777">
            <w:pPr>
              <w:rPr>
                <w:szCs w:val="18"/>
              </w:rPr>
            </w:pPr>
          </w:p>
        </w:tc>
      </w:tr>
      <w:tr w:rsidRPr="00AB6BD7" w:rsidR="006C5B02" w:rsidTr="008541E2" w14:paraId="39DDE565" w14:textId="77777777">
        <w:trPr>
          <w:trHeight w:val="50"/>
        </w:trPr>
        <w:tc>
          <w:tcPr>
            <w:tcW w:w="0" w:type="auto"/>
            <w:vMerge/>
            <w:tcBorders>
              <w:top w:val="single" w:color="D9D9D9" w:sz="8" w:space="0"/>
              <w:left w:val="single" w:color="D9D9D9" w:sz="8" w:space="0"/>
              <w:bottom w:val="single" w:color="D9D9D9" w:sz="8" w:space="0"/>
              <w:right w:val="nil"/>
            </w:tcBorders>
            <w:vAlign w:val="center"/>
            <w:hideMark/>
          </w:tcPr>
          <w:p w:rsidRPr="00AB6BD7" w:rsidR="006C5B02" w:rsidP="008541E2" w:rsidRDefault="006C5B02" w14:paraId="6D6C2B4C" w14:textId="77777777">
            <w:pPr>
              <w:rPr>
                <w:szCs w:val="18"/>
              </w:rPr>
            </w:pPr>
          </w:p>
        </w:tc>
        <w:tc>
          <w:tcPr>
            <w:tcW w:w="1134" w:type="dxa"/>
            <w:tcMar>
              <w:top w:w="0" w:type="dxa"/>
              <w:left w:w="108" w:type="dxa"/>
              <w:bottom w:w="0" w:type="dxa"/>
              <w:right w:w="108" w:type="dxa"/>
            </w:tcMar>
            <w:hideMark/>
          </w:tcPr>
          <w:p w:rsidRPr="00AB6BD7" w:rsidR="006C5B02" w:rsidP="008541E2" w:rsidRDefault="006C5B02" w14:paraId="69C5EECE" w14:textId="77777777">
            <w:pPr>
              <w:rPr>
                <w:szCs w:val="18"/>
              </w:rPr>
            </w:pPr>
            <w:r w:rsidRPr="00AB6BD7">
              <w:rPr>
                <w:szCs w:val="18"/>
              </w:rPr>
              <w:t>Voorstel</w:t>
            </w:r>
          </w:p>
          <w:p w:rsidRPr="00AB6BD7" w:rsidR="006C5B02" w:rsidP="008541E2" w:rsidRDefault="006C5B02" w14:paraId="696739C3" w14:textId="77777777">
            <w:pPr>
              <w:rPr>
                <w:szCs w:val="18"/>
              </w:rPr>
            </w:pPr>
          </w:p>
          <w:p w:rsidR="00640F34" w:rsidP="008541E2" w:rsidRDefault="00640F34" w14:paraId="45FD185C" w14:textId="77777777">
            <w:pPr>
              <w:rPr>
                <w:szCs w:val="18"/>
                <w:lang w:val="en-GB"/>
              </w:rPr>
            </w:pPr>
          </w:p>
          <w:p w:rsidR="00640F34" w:rsidP="008541E2" w:rsidRDefault="00640F34" w14:paraId="548E8862" w14:textId="77777777">
            <w:pPr>
              <w:rPr>
                <w:szCs w:val="18"/>
                <w:lang w:val="en-GB"/>
              </w:rPr>
            </w:pPr>
          </w:p>
          <w:p w:rsidRPr="00AB6BD7" w:rsidR="006C5B02" w:rsidP="008541E2" w:rsidRDefault="006C5B02" w14:paraId="381FE161" w14:textId="338370E3">
            <w:pPr>
              <w:rPr>
                <w:szCs w:val="18"/>
              </w:rPr>
            </w:pPr>
            <w:r w:rsidRPr="00AB6BD7">
              <w:rPr>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00640F34" w:rsidP="008541E2" w:rsidRDefault="00640F34" w14:paraId="5C99068F" w14:textId="714CB20A">
            <w:pPr>
              <w:pStyle w:val="Standaard1"/>
              <w:spacing w:after="0" w:afterAutospacing="0"/>
              <w:rPr>
                <w:rFonts w:ascii="Verdana" w:hAnsi="Verdana"/>
                <w:color w:val="000000"/>
                <w:sz w:val="18"/>
                <w:szCs w:val="18"/>
              </w:rPr>
            </w:pPr>
            <w:r>
              <w:rPr>
                <w:rFonts w:ascii="Verdana" w:hAnsi="Verdana"/>
                <w:color w:val="000000"/>
                <w:sz w:val="18"/>
                <w:szCs w:val="18"/>
              </w:rPr>
              <w:t xml:space="preserve">Kabinetsappreciatie agenderen voor eerstvolgende commissiedebat/schriftelijk overleg over de (informele) Raad Concurrentievermogen. </w:t>
            </w:r>
          </w:p>
          <w:p w:rsidRPr="00AB6BD7" w:rsidR="00640F34" w:rsidP="008541E2" w:rsidRDefault="00640F34" w14:paraId="3848EF30" w14:textId="2D82263F">
            <w:pPr>
              <w:pStyle w:val="Standaard1"/>
              <w:spacing w:after="0" w:afterAutospacing="0"/>
              <w:rPr>
                <w:rFonts w:ascii="Verdana" w:hAnsi="Verdana"/>
                <w:color w:val="000000"/>
                <w:sz w:val="18"/>
                <w:szCs w:val="18"/>
              </w:rPr>
            </w:pPr>
            <w:r w:rsidRPr="00640F34">
              <w:rPr>
                <w:rFonts w:ascii="Verdana" w:hAnsi="Verdana"/>
                <w:color w:val="000000"/>
                <w:sz w:val="18"/>
                <w:szCs w:val="18"/>
              </w:rPr>
              <w:t xml:space="preserve">Dit </w:t>
            </w:r>
            <w:r w:rsidRPr="00640F34">
              <w:rPr>
                <w:rFonts w:ascii="Verdana" w:hAnsi="Verdana"/>
                <w:color w:val="000000"/>
                <w:sz w:val="18"/>
                <w:szCs w:val="18"/>
              </w:rPr>
              <w:t xml:space="preserve">betreft </w:t>
            </w:r>
            <w:r w:rsidRPr="00640F34">
              <w:rPr>
                <w:rFonts w:ascii="Verdana" w:hAnsi="Verdana"/>
                <w:color w:val="000000"/>
                <w:sz w:val="18"/>
                <w:szCs w:val="18"/>
              </w:rPr>
              <w:t xml:space="preserve">is een mededeling van de </w:t>
            </w:r>
            <w:r w:rsidRPr="00640F34">
              <w:rPr>
                <w:rFonts w:ascii="Verdana" w:hAnsi="Verdana"/>
                <w:color w:val="000000"/>
                <w:sz w:val="18"/>
                <w:szCs w:val="18"/>
              </w:rPr>
              <w:t xml:space="preserve">EC </w:t>
            </w:r>
            <w:r w:rsidRPr="00640F34">
              <w:rPr>
                <w:rFonts w:ascii="Verdana" w:hAnsi="Verdana"/>
                <w:color w:val="000000"/>
                <w:sz w:val="18"/>
                <w:szCs w:val="18"/>
              </w:rPr>
              <w:t xml:space="preserve">waarin het </w:t>
            </w:r>
            <w:proofErr w:type="spellStart"/>
            <w:r w:rsidRPr="00640F34">
              <w:rPr>
                <w:rFonts w:ascii="Verdana" w:hAnsi="Verdana"/>
                <w:color w:val="000000"/>
                <w:sz w:val="18"/>
                <w:szCs w:val="18"/>
              </w:rPr>
              <w:t>najaarspakket</w:t>
            </w:r>
            <w:proofErr w:type="spellEnd"/>
            <w:r w:rsidRPr="00640F34">
              <w:rPr>
                <w:rFonts w:ascii="Verdana" w:hAnsi="Verdana"/>
                <w:color w:val="000000"/>
                <w:sz w:val="18"/>
                <w:szCs w:val="18"/>
              </w:rPr>
              <w:t xml:space="preserve"> van het Europees Semester 2026 wordt gepresenteerd. Het schetst de economische situatie van de EU, benoemt de belangrijkste structurele uitdagingen en geeft beleidsprioriteiten voor groei, concurrentievermogen, investeringen, vaardigheden en sociale vooruitgang. De Commissie roept lidstaten op om hervormingen en investeringen te versnellen, de productiviteit op te voeren en strategische afhankelijkheden te verminderen als onderdeel van de uitvoering van het “kompas voor concurrentievermogen”.</w:t>
            </w:r>
          </w:p>
          <w:p w:rsidRPr="00AB6BD7" w:rsidR="006C5B02" w:rsidP="008541E2" w:rsidRDefault="006C5B02" w14:paraId="7E5DAAFC" w14:textId="77777777">
            <w:pPr>
              <w:pStyle w:val="Standaard1"/>
              <w:spacing w:before="0" w:beforeAutospacing="0" w:after="0" w:afterAutospacing="0"/>
              <w:rPr>
                <w:rFonts w:ascii="Verdana" w:hAnsi="Verdana"/>
                <w:color w:val="000000"/>
                <w:sz w:val="18"/>
                <w:szCs w:val="18"/>
              </w:rPr>
            </w:pPr>
          </w:p>
          <w:p w:rsidRPr="00AB6BD7" w:rsidR="006C5B02" w:rsidP="008541E2" w:rsidRDefault="006C5B02" w14:paraId="6A75878C" w14:textId="69F581ED">
            <w:pPr>
              <w:rPr>
                <w:color w:val="000000"/>
                <w:szCs w:val="18"/>
              </w:rPr>
            </w:pPr>
          </w:p>
        </w:tc>
      </w:tr>
    </w:tbl>
    <w:p w:rsidRPr="00AB6BD7" w:rsidR="006C5B02" w:rsidP="006C5B02" w:rsidRDefault="006C5B02" w14:paraId="0D774183" w14:textId="77777777">
      <w:pPr>
        <w:tabs>
          <w:tab w:val="left" w:pos="6511"/>
        </w:tabs>
        <w:rPr>
          <w:szCs w:val="18"/>
        </w:rPr>
      </w:pPr>
    </w:p>
    <w:p w:rsidRPr="00AB6BD7" w:rsidR="006C5B02" w:rsidP="006C5B02" w:rsidRDefault="006C5B02" w14:paraId="3318E4E1" w14:textId="77777777">
      <w:pPr>
        <w:tabs>
          <w:tab w:val="left" w:pos="6511"/>
        </w:tabs>
        <w:rPr>
          <w:szCs w:val="18"/>
        </w:rPr>
      </w:pPr>
    </w:p>
    <w:p w:rsidRPr="00AB6BD7" w:rsidR="006C1878" w:rsidRDefault="006C1878" w14:paraId="296F81E2"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251F09" w:rsidR="0016434A" w:rsidTr="008541E2" w14:paraId="401354B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B6BD7" w:rsidR="0016434A" w:rsidP="008541E2" w:rsidRDefault="0016434A" w14:paraId="61AC2528" w14:textId="77777777">
            <w:pPr>
              <w:pStyle w:val="Lijstalinea"/>
              <w:numPr>
                <w:ilvl w:val="0"/>
                <w:numId w:val="2"/>
              </w:numPr>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B6BD7" w:rsidR="0016434A" w:rsidP="008541E2" w:rsidRDefault="0016434A" w14:paraId="241A6300" w14:textId="77777777">
            <w:pPr>
              <w:rPr>
                <w:szCs w:val="18"/>
              </w:rPr>
            </w:pPr>
            <w:r w:rsidRPr="00AB6BD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51F09" w:rsidR="0016434A" w:rsidP="0016434A" w:rsidRDefault="00251F09" w14:paraId="6149608C" w14:textId="5CBE06B2">
            <w:pPr>
              <w:rPr>
                <w:rFonts w:eastAsiaTheme="minorHAnsi"/>
                <w:szCs w:val="18"/>
              </w:rPr>
            </w:pPr>
            <w:r w:rsidRPr="00251F09">
              <w:rPr>
                <w:szCs w:val="18"/>
              </w:rPr>
              <w:t>Aanbeveling voor een AANBEVELING VAN DE RAAD over het economisch beleid van de eurozone</w:t>
            </w:r>
            <w:r w:rsidRPr="00251F09" w:rsidR="0016434A">
              <w:rPr>
                <w:szCs w:val="18"/>
              </w:rPr>
              <w:t xml:space="preserve"> </w:t>
            </w:r>
            <w:hyperlink w:history="1" r:id="rId15">
              <w:r w:rsidRPr="00251F09" w:rsidR="0016434A">
                <w:rPr>
                  <w:rStyle w:val="Hyperlink"/>
                  <w:szCs w:val="18"/>
                </w:rPr>
                <w:t>COM(2025)957</w:t>
              </w:r>
            </w:hyperlink>
          </w:p>
          <w:p w:rsidRPr="00251F09" w:rsidR="0016434A" w:rsidP="008541E2" w:rsidRDefault="0016434A" w14:paraId="05083A5F" w14:textId="41616FEE">
            <w:pPr>
              <w:rPr>
                <w:szCs w:val="18"/>
              </w:rPr>
            </w:pPr>
          </w:p>
          <w:p w:rsidRPr="00251F09" w:rsidR="0016434A" w:rsidP="008541E2" w:rsidRDefault="0016434A" w14:paraId="27B4043D" w14:textId="77777777">
            <w:pPr>
              <w:rPr>
                <w:szCs w:val="18"/>
              </w:rPr>
            </w:pPr>
          </w:p>
        </w:tc>
      </w:tr>
      <w:tr w:rsidRPr="00AB6BD7" w:rsidR="0016434A" w:rsidTr="008541E2" w14:paraId="0E927B8D" w14:textId="77777777">
        <w:trPr>
          <w:trHeight w:val="50"/>
        </w:trPr>
        <w:tc>
          <w:tcPr>
            <w:tcW w:w="0" w:type="auto"/>
            <w:vMerge/>
            <w:tcBorders>
              <w:top w:val="single" w:color="D9D9D9" w:sz="8" w:space="0"/>
              <w:left w:val="single" w:color="D9D9D9" w:sz="8" w:space="0"/>
              <w:bottom w:val="single" w:color="D9D9D9" w:sz="8" w:space="0"/>
              <w:right w:val="nil"/>
            </w:tcBorders>
            <w:vAlign w:val="center"/>
            <w:hideMark/>
          </w:tcPr>
          <w:p w:rsidRPr="00251F09" w:rsidR="0016434A" w:rsidP="008541E2" w:rsidRDefault="0016434A" w14:paraId="40A54E3D" w14:textId="77777777">
            <w:pPr>
              <w:rPr>
                <w:szCs w:val="18"/>
              </w:rPr>
            </w:pPr>
          </w:p>
        </w:tc>
        <w:tc>
          <w:tcPr>
            <w:tcW w:w="1134" w:type="dxa"/>
            <w:tcMar>
              <w:top w:w="0" w:type="dxa"/>
              <w:left w:w="108" w:type="dxa"/>
              <w:bottom w:w="0" w:type="dxa"/>
              <w:right w:w="108" w:type="dxa"/>
            </w:tcMar>
            <w:hideMark/>
          </w:tcPr>
          <w:p w:rsidRPr="00AB6BD7" w:rsidR="0016434A" w:rsidP="008541E2" w:rsidRDefault="0016434A" w14:paraId="20B753A0" w14:textId="77777777">
            <w:pPr>
              <w:rPr>
                <w:szCs w:val="18"/>
              </w:rPr>
            </w:pPr>
            <w:r w:rsidRPr="00AB6BD7">
              <w:rPr>
                <w:szCs w:val="18"/>
              </w:rPr>
              <w:t>Voorstel</w:t>
            </w:r>
          </w:p>
          <w:p w:rsidRPr="00AB6BD7" w:rsidR="0016434A" w:rsidP="008541E2" w:rsidRDefault="0016434A" w14:paraId="340FF652" w14:textId="77777777">
            <w:pPr>
              <w:rPr>
                <w:szCs w:val="18"/>
              </w:rPr>
            </w:pPr>
          </w:p>
          <w:p w:rsidR="00544B1E" w:rsidP="008541E2" w:rsidRDefault="00544B1E" w14:paraId="0C5B2534" w14:textId="77777777">
            <w:pPr>
              <w:rPr>
                <w:szCs w:val="18"/>
                <w:lang w:val="en-GB"/>
              </w:rPr>
            </w:pPr>
          </w:p>
          <w:p w:rsidR="00544B1E" w:rsidP="008541E2" w:rsidRDefault="00544B1E" w14:paraId="13756E18" w14:textId="77777777">
            <w:pPr>
              <w:rPr>
                <w:szCs w:val="18"/>
                <w:lang w:val="en-GB"/>
              </w:rPr>
            </w:pPr>
          </w:p>
          <w:p w:rsidR="0016434A" w:rsidP="008541E2" w:rsidRDefault="0016434A" w14:paraId="69CDD400" w14:textId="1FAEE434">
            <w:pPr>
              <w:rPr>
                <w:szCs w:val="18"/>
                <w:lang w:val="en-GB"/>
              </w:rPr>
            </w:pPr>
            <w:r w:rsidRPr="00AB6BD7">
              <w:rPr>
                <w:szCs w:val="18"/>
                <w:lang w:val="en-GB"/>
              </w:rPr>
              <w:t>Noot</w:t>
            </w:r>
          </w:p>
          <w:p w:rsidRPr="00AB6BD7" w:rsidR="00544B1E" w:rsidP="008541E2" w:rsidRDefault="00544B1E" w14:paraId="63696F6B" w14:textId="77777777">
            <w:pPr>
              <w:rPr>
                <w:szCs w:val="18"/>
              </w:rPr>
            </w:pPr>
          </w:p>
        </w:tc>
        <w:tc>
          <w:tcPr>
            <w:tcW w:w="6378" w:type="dxa"/>
            <w:tcBorders>
              <w:top w:val="nil"/>
              <w:left w:val="nil"/>
              <w:bottom w:val="nil"/>
              <w:right w:val="single" w:color="D9D9D9" w:sz="8" w:space="0"/>
            </w:tcBorders>
            <w:tcMar>
              <w:top w:w="0" w:type="dxa"/>
              <w:left w:w="108" w:type="dxa"/>
              <w:bottom w:w="0" w:type="dxa"/>
              <w:right w:w="108" w:type="dxa"/>
            </w:tcMar>
            <w:hideMark/>
          </w:tcPr>
          <w:p w:rsidRPr="00AB6BD7" w:rsidR="0016434A" w:rsidP="008541E2" w:rsidRDefault="00544B1E" w14:paraId="5EE44E96" w14:textId="7995D945">
            <w:pPr>
              <w:pStyle w:val="Standaard1"/>
              <w:spacing w:after="0" w:afterAutospacing="0"/>
              <w:rPr>
                <w:rFonts w:ascii="Verdana" w:hAnsi="Verdana"/>
                <w:color w:val="000000"/>
                <w:sz w:val="18"/>
                <w:szCs w:val="18"/>
              </w:rPr>
            </w:pPr>
            <w:r>
              <w:rPr>
                <w:rFonts w:ascii="Verdana" w:hAnsi="Verdana"/>
                <w:color w:val="000000"/>
                <w:sz w:val="18"/>
                <w:szCs w:val="18"/>
              </w:rPr>
              <w:t xml:space="preserve">Kabinetsappreciatie agenderen voor eerstvolgende commissiedebat/schriftelijk overleg over de (informele) Raad Concurrentievermogen. </w:t>
            </w:r>
          </w:p>
          <w:p w:rsidRPr="00AB6BD7" w:rsidR="0016434A" w:rsidP="008541E2" w:rsidRDefault="0016434A" w14:paraId="77A7ADDA" w14:textId="77777777">
            <w:pPr>
              <w:pStyle w:val="Standaard1"/>
              <w:spacing w:before="0" w:beforeAutospacing="0" w:after="0" w:afterAutospacing="0"/>
              <w:rPr>
                <w:rFonts w:ascii="Verdana" w:hAnsi="Verdana"/>
                <w:color w:val="000000"/>
                <w:sz w:val="18"/>
                <w:szCs w:val="18"/>
              </w:rPr>
            </w:pPr>
          </w:p>
          <w:p w:rsidRPr="00AB6BD7" w:rsidR="0016434A" w:rsidP="008541E2" w:rsidRDefault="00714556" w14:paraId="76C56A78" w14:textId="778B4164">
            <w:pPr>
              <w:rPr>
                <w:color w:val="000000"/>
                <w:szCs w:val="18"/>
              </w:rPr>
            </w:pPr>
            <w:r>
              <w:rPr>
                <w:color w:val="000000"/>
                <w:szCs w:val="18"/>
              </w:rPr>
              <w:t xml:space="preserve">Deze aanbeveling van de EC aan de Raad </w:t>
            </w:r>
            <w:r w:rsidRPr="00714556">
              <w:rPr>
                <w:color w:val="000000"/>
                <w:szCs w:val="18"/>
              </w:rPr>
              <w:t>biedt richtlijnen voor het economische beleid van het eurogebied voor de periode 2026–2027.</w:t>
            </w:r>
            <w:r>
              <w:rPr>
                <w:color w:val="000000"/>
                <w:szCs w:val="18"/>
              </w:rPr>
              <w:t xml:space="preserve"> </w:t>
            </w:r>
            <w:r w:rsidRPr="00264289" w:rsidR="00264289">
              <w:rPr>
                <w:color w:val="000000"/>
                <w:szCs w:val="18"/>
              </w:rPr>
              <w:t xml:space="preserve">Het document benadrukt de noodzaak om de economische veerkracht van de eurozone te versterken te midden van mondiale </w:t>
            </w:r>
            <w:r w:rsidRPr="00264289" w:rsidR="00264289">
              <w:rPr>
                <w:color w:val="000000"/>
                <w:szCs w:val="18"/>
              </w:rPr>
              <w:lastRenderedPageBreak/>
              <w:t xml:space="preserve">onzekerheid, geopolitieke spanningen (zoals de oorlog in Oekraïne) en een gefragmenteerde wereldhandel. </w:t>
            </w:r>
            <w:r w:rsidR="00DA35A6">
              <w:rPr>
                <w:color w:val="000000"/>
                <w:szCs w:val="18"/>
              </w:rPr>
              <w:t xml:space="preserve">Er worden aanbevelingen gedaan in het domein van: fiscale duurzaamheid, innovatie en concurrentievermogen, arbeidsmarkt, financiële stabiliteit en energie en defensie. </w:t>
            </w:r>
          </w:p>
        </w:tc>
      </w:tr>
    </w:tbl>
    <w:p w:rsidRPr="00AB6BD7" w:rsidR="0016434A" w:rsidRDefault="0016434A" w14:paraId="028C7689" w14:textId="77777777">
      <w:pPr>
        <w:rPr>
          <w:szCs w:val="18"/>
        </w:rPr>
      </w:pPr>
    </w:p>
    <w:sectPr w:rsidRPr="00AB6BD7" w:rsidR="0016434A" w:rsidSect="006C5B02">
      <w:headerReference w:type="default" r:id="rId16"/>
      <w:pgSz w:w="11906" w:h="16838" w:orient="portrait"/>
      <w:pgMar w:top="1417" w:right="1417" w:bottom="1417" w:left="1417" w:header="2370" w:footer="992"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B02" w:rsidP="006C5B02" w:rsidRDefault="006C5B02" w14:paraId="2E14009C" w14:textId="77777777">
      <w:r>
        <w:separator/>
      </w:r>
    </w:p>
  </w:endnote>
  <w:endnote w:type="continuationSeparator" w:id="0">
    <w:p w:rsidR="006C5B02" w:rsidP="006C5B02" w:rsidRDefault="006C5B02" w14:paraId="0905A5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B02" w:rsidP="006C5B02" w:rsidRDefault="006C5B02" w14:paraId="196F1D87" w14:textId="77777777">
      <w:r>
        <w:separator/>
      </w:r>
    </w:p>
  </w:footnote>
  <w:footnote w:type="continuationSeparator" w:id="0">
    <w:p w:rsidR="006C5B02" w:rsidP="006C5B02" w:rsidRDefault="006C5B02" w14:paraId="301FC2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5B02" w:rsidRDefault="006C5B02" w14:paraId="093F9F28" w14:textId="5F7F763A">
    <w:pPr>
      <w:pStyle w:val="Koptekst"/>
    </w:pPr>
    <w:r w:rsidRPr="006F2511">
      <w:rPr>
        <w:noProof/>
        <w:szCs w:val="18"/>
        <w:lang w:eastAsia="nl-NL"/>
      </w:rPr>
      <mc:AlternateContent>
        <mc:Choice Requires="wps">
          <w:drawing>
            <wp:anchor distT="0" distB="269875" distL="114300" distR="114300" simplePos="0" relativeHeight="251662336" behindDoc="0" locked="0" layoutInCell="1" allowOverlap="1" wp14:anchorId="37E77E57" wp14:editId="55B487E6">
              <wp:simplePos x="0" y="0"/>
              <wp:positionH relativeFrom="margin">
                <wp:posOffset>4413968</wp:posOffset>
              </wp:positionH>
              <wp:positionV relativeFrom="page">
                <wp:posOffset>836847</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B02" w:rsidP="006C5B02" w:rsidRDefault="006C5B02" w14:paraId="008E8AD3" w14:textId="77777777">
                          <w:pPr>
                            <w:pStyle w:val="Huisstijl-Agendatitel"/>
                            <w:ind w:left="0" w:firstLine="0"/>
                            <w:jc w:val="right"/>
                          </w:pPr>
                          <w:r>
                            <w:t>Commissie EZ</w:t>
                          </w:r>
                        </w:p>
                        <w:p w:rsidR="006C5B02" w:rsidP="006C5B02" w:rsidRDefault="006C5B02" w14:paraId="77707A58" w14:textId="77777777">
                          <w:pPr>
                            <w:pStyle w:val="Huisstijl-Agendatitel"/>
                            <w:ind w:left="0" w:firstLine="0"/>
                            <w:jc w:val="right"/>
                          </w:pPr>
                        </w:p>
                        <w:p w:rsidR="006C5B02" w:rsidP="006C5B02" w:rsidRDefault="006C5B02" w14:paraId="31127CEE" w14:textId="77777777">
                          <w:pPr>
                            <w:pStyle w:val="Huisstijl-Agendatitel"/>
                            <w:ind w:left="0" w:firstLine="0"/>
                            <w:jc w:val="right"/>
                          </w:pPr>
                        </w:p>
                        <w:p w:rsidR="006C5B02" w:rsidP="006C5B02" w:rsidRDefault="006C5B02" w14:paraId="2D4F7853" w14:textId="14307717">
                          <w:pPr>
                            <w:pStyle w:val="Huisstijl-Agendatitel"/>
                            <w:ind w:left="0" w:firstLine="0"/>
                            <w:jc w:val="right"/>
                          </w:pPr>
                          <w:r>
                            <w:t xml:space="preserve">4 december </w:t>
                          </w:r>
                          <w:r>
                            <w:t>2025</w:t>
                          </w:r>
                        </w:p>
                        <w:p w:rsidR="006C5B02" w:rsidP="006C5B02" w:rsidRDefault="006C5B02" w14:paraId="5CC7D507" w14:textId="77777777">
                          <w:pPr>
                            <w:pStyle w:val="Huisstijl-Agendatitel"/>
                            <w:ind w:left="0" w:firstLine="0"/>
                          </w:pPr>
                        </w:p>
                        <w:p w:rsidR="006C5B02" w:rsidP="006C5B02" w:rsidRDefault="006C5B02" w14:paraId="79445551" w14:textId="77777777">
                          <w:pPr>
                            <w:pStyle w:val="Huisstijl-AgendagegevensW1"/>
                          </w:pPr>
                          <w:r>
                            <w:tab/>
                          </w:r>
                          <w:r>
                            <w:t xml:space="preserve"> </w:t>
                          </w:r>
                        </w:p>
                        <w:p w:rsidR="006C5B02" w:rsidP="006C5B02" w:rsidRDefault="006C5B02" w14:paraId="4D89F438"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50E79C">
            <v:shapetype id="_x0000_t202" coordsize="21600,21600" o:spt="202" path="m,l,21600r21600,l21600,xe" w14:anchorId="37E77E57">
              <v:stroke joinstyle="miter"/>
              <v:path gradientshapeok="t" o:connecttype="rect"/>
            </v:shapetype>
            <v:shape id="Tekstvak 8" style="position:absolute;margin-left:347.55pt;margin-top:65.9pt;width:157.55pt;height:55.3pt;z-index:251662336;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">
              <v:textbox inset="0,0,0,0">
                <w:txbxContent>
                  <w:p w:rsidR="006C5B02" w:rsidP="006C5B02" w:rsidRDefault="006C5B02" w14:paraId="59D03E5C" w14:textId="77777777">
                    <w:pPr>
                      <w:pStyle w:val="Huisstijl-Agendatitel"/>
                      <w:ind w:left="0" w:firstLine="0"/>
                      <w:jc w:val="right"/>
                    </w:pPr>
                    <w:r>
                      <w:t>Commissie EZ</w:t>
                    </w:r>
                  </w:p>
                  <w:p w:rsidR="006C5B02" w:rsidP="006C5B02" w:rsidRDefault="006C5B02" w14:paraId="672A6659" w14:textId="77777777">
                    <w:pPr>
                      <w:pStyle w:val="Huisstijl-Agendatitel"/>
                      <w:ind w:left="0" w:firstLine="0"/>
                      <w:jc w:val="right"/>
                    </w:pPr>
                  </w:p>
                  <w:p w:rsidR="006C5B02" w:rsidP="006C5B02" w:rsidRDefault="006C5B02" w14:paraId="0A37501D" w14:textId="77777777">
                    <w:pPr>
                      <w:pStyle w:val="Huisstijl-Agendatitel"/>
                      <w:ind w:left="0" w:firstLine="0"/>
                      <w:jc w:val="right"/>
                    </w:pPr>
                  </w:p>
                  <w:p w:rsidR="006C5B02" w:rsidP="006C5B02" w:rsidRDefault="006C5B02" w14:paraId="2A897374" w14:textId="14307717">
                    <w:pPr>
                      <w:pStyle w:val="Huisstijl-Agendatitel"/>
                      <w:ind w:left="0" w:firstLine="0"/>
                      <w:jc w:val="right"/>
                    </w:pPr>
                    <w:r>
                      <w:t xml:space="preserve">4 december </w:t>
                    </w:r>
                    <w:r>
                      <w:t>2025</w:t>
                    </w:r>
                  </w:p>
                  <w:p w:rsidR="006C5B02" w:rsidP="006C5B02" w:rsidRDefault="006C5B02" w14:paraId="5DAB6C7B" w14:textId="77777777">
                    <w:pPr>
                      <w:pStyle w:val="Huisstijl-Agendatitel"/>
                      <w:ind w:left="0" w:firstLine="0"/>
                    </w:pPr>
                  </w:p>
                  <w:p w:rsidR="006C5B02" w:rsidP="006C5B02" w:rsidRDefault="006C5B02" w14:paraId="29D6B04F" w14:textId="77777777">
                    <w:pPr>
                      <w:pStyle w:val="Huisstijl-AgendagegevensW1"/>
                    </w:pPr>
                    <w:r>
                      <w:tab/>
                    </w:r>
                    <w:r>
                      <w:t xml:space="preserve"> </w:t>
                    </w:r>
                  </w:p>
                  <w:p w:rsidR="006C5B02" w:rsidP="006C5B02" w:rsidRDefault="006C5B02" w14:paraId="02EB378F" w14:textId="77777777">
                    <w:pPr>
                      <w:pStyle w:val="Huisstijl-Notitiegegevens"/>
                    </w:pPr>
                  </w:p>
                </w:txbxContent>
              </v:textbox>
              <w10:wrap type="topAndBottom" anchorx="margin" anchory="page"/>
            </v:shape>
          </w:pict>
        </mc:Fallback>
      </mc:AlternateContent>
    </w:r>
    <w:r>
      <w:rPr>
        <w:noProof/>
        <w:lang w:eastAsia="nl-NL"/>
      </w:rPr>
      <w:drawing>
        <wp:anchor distT="0" distB="0" distL="114300" distR="114300" simplePos="0" relativeHeight="251659264" behindDoc="1" locked="0" layoutInCell="1" allowOverlap="1" wp14:anchorId="3E65926E" wp14:editId="54305464">
          <wp:simplePos x="0" y="0"/>
          <wp:positionH relativeFrom="page">
            <wp:posOffset>477078</wp:posOffset>
          </wp:positionH>
          <wp:positionV relativeFrom="page">
            <wp:posOffset>485030</wp:posOffset>
          </wp:positionV>
          <wp:extent cx="3070225" cy="1238250"/>
          <wp:effectExtent l="0" t="0" r="0" b="0"/>
          <wp:wrapTight wrapText="bothSides">
            <wp:wrapPolygon edited="0">
              <wp:start x="0" y="0"/>
              <wp:lineTo x="0" y="21268"/>
              <wp:lineTo x="21444" y="21268"/>
              <wp:lineTo x="21444" y="0"/>
              <wp:lineTo x="0" y="0"/>
            </wp:wrapPolygon>
          </wp:wrapTight>
          <wp:docPr id="7" name="Afbeelding 7" descr="Afbeelding met tekst, Lettertyp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wi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anchor>
      </w:drawing>
    </w:r>
    <w:r>
      <w:rPr>
        <w:noProof/>
        <w:lang w:eastAsia="nl-NL"/>
      </w:rPr>
      <w:drawing>
        <wp:anchor distT="0" distB="0" distL="114300" distR="114300" simplePos="0" relativeHeight="251660288" behindDoc="1" locked="0" layoutInCell="1" allowOverlap="1" wp14:anchorId="3842E9EA" wp14:editId="0333AEEB">
          <wp:simplePos x="0" y="0"/>
          <wp:positionH relativeFrom="page">
            <wp:posOffset>182880</wp:posOffset>
          </wp:positionH>
          <wp:positionV relativeFrom="page">
            <wp:posOffset>142875</wp:posOffset>
          </wp:positionV>
          <wp:extent cx="431800" cy="1238250"/>
          <wp:effectExtent l="0" t="0" r="6350" b="0"/>
          <wp:wrapTight wrapText="bothSides">
            <wp:wrapPolygon edited="0">
              <wp:start x="0" y="0"/>
              <wp:lineTo x="0" y="21268"/>
              <wp:lineTo x="20965" y="21268"/>
              <wp:lineTo x="20965" y="0"/>
              <wp:lineTo x="0" y="0"/>
            </wp:wrapPolygon>
          </wp:wrapTight>
          <wp:docPr id="9" name="Afbeelding 9" descr="Afbeelding met schets, symbool, tekening,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chets, symbool, tekening, embleem&#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FD65926"/>
    <w:multiLevelType w:val="hybridMultilevel"/>
    <w:tmpl w:val="968AD0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2313F87"/>
    <w:multiLevelType w:val="hybridMultilevel"/>
    <w:tmpl w:val="9B801AEA"/>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1920236">
    <w:abstractNumId w:val="2"/>
  </w:num>
  <w:num w:numId="2" w16cid:durableId="1881015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77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02"/>
    <w:rsid w:val="00092141"/>
    <w:rsid w:val="000B1073"/>
    <w:rsid w:val="0016434A"/>
    <w:rsid w:val="001A2BF6"/>
    <w:rsid w:val="001F2313"/>
    <w:rsid w:val="00251F09"/>
    <w:rsid w:val="00264289"/>
    <w:rsid w:val="002E4D30"/>
    <w:rsid w:val="002E66F8"/>
    <w:rsid w:val="00341700"/>
    <w:rsid w:val="00387891"/>
    <w:rsid w:val="003A5541"/>
    <w:rsid w:val="0040695E"/>
    <w:rsid w:val="00415A43"/>
    <w:rsid w:val="00465DA1"/>
    <w:rsid w:val="00471DA2"/>
    <w:rsid w:val="00500718"/>
    <w:rsid w:val="0053708F"/>
    <w:rsid w:val="00544B1E"/>
    <w:rsid w:val="00561B6E"/>
    <w:rsid w:val="005A300B"/>
    <w:rsid w:val="005B2E4B"/>
    <w:rsid w:val="00640F34"/>
    <w:rsid w:val="006C1878"/>
    <w:rsid w:val="006C5B02"/>
    <w:rsid w:val="006F7E21"/>
    <w:rsid w:val="00702372"/>
    <w:rsid w:val="00714556"/>
    <w:rsid w:val="007A5880"/>
    <w:rsid w:val="007F07DA"/>
    <w:rsid w:val="00805C5C"/>
    <w:rsid w:val="008404EE"/>
    <w:rsid w:val="00863FB4"/>
    <w:rsid w:val="008A40FC"/>
    <w:rsid w:val="008D4C8C"/>
    <w:rsid w:val="009A185B"/>
    <w:rsid w:val="00AA7ADB"/>
    <w:rsid w:val="00AB6BD7"/>
    <w:rsid w:val="00AF5F43"/>
    <w:rsid w:val="00B4051C"/>
    <w:rsid w:val="00B47246"/>
    <w:rsid w:val="00B53452"/>
    <w:rsid w:val="00B54294"/>
    <w:rsid w:val="00D0085C"/>
    <w:rsid w:val="00DA35A6"/>
    <w:rsid w:val="00DE56E9"/>
    <w:rsid w:val="00E40EEC"/>
    <w:rsid w:val="00F046D5"/>
    <w:rsid w:val="00F70F42"/>
    <w:rsid w:val="00FC2D75"/>
    <w:rsid w:val="00FF2AD2"/>
    <w:rsid w:val="36366415"/>
    <w:rsid w:val="7B27B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F86B"/>
  <w15:chartTrackingRefBased/>
  <w15:docId w15:val="{74390C7D-C00E-40F5-83CD-59B05B8026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C5B02"/>
    <w:pPr>
      <w:spacing w:after="0" w:line="240" w:lineRule="auto"/>
    </w:pPr>
    <w:rPr>
      <w:rFonts w:ascii="Verdana" w:hAnsi="Verdana" w:eastAsia="Calibri" w:cs="Times New Roman"/>
      <w:kern w:val="0"/>
      <w:sz w:val="18"/>
      <w:szCs w:val="22"/>
      <w14:ligatures w14:val="none"/>
    </w:rPr>
  </w:style>
  <w:style w:type="paragraph" w:styleId="Kop1">
    <w:name w:val="heading 1"/>
    <w:basedOn w:val="Standaard"/>
    <w:next w:val="Standaard"/>
    <w:link w:val="Kop1Char"/>
    <w:uiPriority w:val="9"/>
    <w:qFormat/>
    <w:rsid w:val="006C5B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5B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5B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B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B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B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B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B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B02"/>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C5B02"/>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C5B02"/>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C5B02"/>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C5B02"/>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C5B02"/>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C5B02"/>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C5B02"/>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C5B02"/>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C5B02"/>
    <w:rPr>
      <w:rFonts w:eastAsiaTheme="majorEastAsia" w:cstheme="majorBidi"/>
      <w:color w:val="272727" w:themeColor="text1" w:themeTint="D8"/>
    </w:rPr>
  </w:style>
  <w:style w:type="paragraph" w:styleId="Titel">
    <w:name w:val="Title"/>
    <w:basedOn w:val="Standaard"/>
    <w:next w:val="Standaard"/>
    <w:link w:val="TitelChar"/>
    <w:uiPriority w:val="10"/>
    <w:qFormat/>
    <w:rsid w:val="006C5B02"/>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C5B02"/>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C5B02"/>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C5B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B02"/>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C5B02"/>
    <w:rPr>
      <w:i/>
      <w:iCs/>
      <w:color w:val="404040" w:themeColor="text1" w:themeTint="BF"/>
    </w:rPr>
  </w:style>
  <w:style w:type="paragraph" w:styleId="Lijstalinea">
    <w:name w:val="List Paragraph"/>
    <w:basedOn w:val="Standaard"/>
    <w:uiPriority w:val="34"/>
    <w:qFormat/>
    <w:rsid w:val="006C5B02"/>
    <w:pPr>
      <w:ind w:left="720"/>
      <w:contextualSpacing/>
    </w:pPr>
  </w:style>
  <w:style w:type="character" w:styleId="Intensievebenadrukking">
    <w:name w:val="Intense Emphasis"/>
    <w:basedOn w:val="Standaardalinea-lettertype"/>
    <w:uiPriority w:val="21"/>
    <w:qFormat/>
    <w:rsid w:val="006C5B02"/>
    <w:rPr>
      <w:i/>
      <w:iCs/>
      <w:color w:val="0F4761" w:themeColor="accent1" w:themeShade="BF"/>
    </w:rPr>
  </w:style>
  <w:style w:type="paragraph" w:styleId="Duidelijkcitaat">
    <w:name w:val="Intense Quote"/>
    <w:basedOn w:val="Standaard"/>
    <w:next w:val="Standaard"/>
    <w:link w:val="DuidelijkcitaatChar"/>
    <w:uiPriority w:val="30"/>
    <w:qFormat/>
    <w:rsid w:val="006C5B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C5B02"/>
    <w:rPr>
      <w:i/>
      <w:iCs/>
      <w:color w:val="0F4761" w:themeColor="accent1" w:themeShade="BF"/>
    </w:rPr>
  </w:style>
  <w:style w:type="character" w:styleId="Intensieveverwijzing">
    <w:name w:val="Intense Reference"/>
    <w:basedOn w:val="Standaardalinea-lettertype"/>
    <w:uiPriority w:val="32"/>
    <w:qFormat/>
    <w:rsid w:val="006C5B02"/>
    <w:rPr>
      <w:b/>
      <w:bCs/>
      <w:smallCaps/>
      <w:color w:val="0F4761" w:themeColor="accent1" w:themeShade="BF"/>
      <w:spacing w:val="5"/>
    </w:rPr>
  </w:style>
  <w:style w:type="paragraph" w:styleId="Koptekst">
    <w:name w:val="header"/>
    <w:basedOn w:val="Standaard"/>
    <w:link w:val="KoptekstChar"/>
    <w:uiPriority w:val="99"/>
    <w:unhideWhenUsed/>
    <w:rsid w:val="006C5B02"/>
    <w:pPr>
      <w:tabs>
        <w:tab w:val="center" w:pos="4536"/>
        <w:tab w:val="right" w:pos="9072"/>
      </w:tabs>
    </w:pPr>
  </w:style>
  <w:style w:type="character" w:styleId="KoptekstChar" w:customStyle="1">
    <w:name w:val="Koptekst Char"/>
    <w:basedOn w:val="Standaardalinea-lettertype"/>
    <w:link w:val="Koptekst"/>
    <w:uiPriority w:val="99"/>
    <w:rsid w:val="006C5B02"/>
  </w:style>
  <w:style w:type="paragraph" w:styleId="Voettekst">
    <w:name w:val="footer"/>
    <w:basedOn w:val="Standaard"/>
    <w:link w:val="VoettekstChar"/>
    <w:uiPriority w:val="99"/>
    <w:unhideWhenUsed/>
    <w:rsid w:val="006C5B02"/>
    <w:pPr>
      <w:tabs>
        <w:tab w:val="center" w:pos="4536"/>
        <w:tab w:val="right" w:pos="9072"/>
      </w:tabs>
    </w:pPr>
  </w:style>
  <w:style w:type="character" w:styleId="VoettekstChar" w:customStyle="1">
    <w:name w:val="Voettekst Char"/>
    <w:basedOn w:val="Standaardalinea-lettertype"/>
    <w:link w:val="Voettekst"/>
    <w:uiPriority w:val="99"/>
    <w:rsid w:val="006C5B02"/>
  </w:style>
  <w:style w:type="paragraph" w:styleId="Huisstijl-Agendatitel" w:customStyle="1">
    <w:name w:val="Huisstijl - Agendatitel"/>
    <w:basedOn w:val="Standaard"/>
    <w:qFormat/>
    <w:rsid w:val="006C5B02"/>
    <w:pPr>
      <w:framePr w:w="6538" w:hSpace="181" w:wrap="notBeside" w:hAnchor="page" w:vAnchor="page" w:x="681" w:y="3044"/>
      <w:shd w:val="solid" w:color="FFFFFF" w:fill="FFFFFF"/>
      <w:tabs>
        <w:tab w:val="left" w:pos="1418"/>
      </w:tabs>
      <w:ind w:left="1417" w:hanging="788"/>
    </w:pPr>
    <w:rPr>
      <w:b/>
      <w:sz w:val="16"/>
      <w:szCs w:val="16"/>
    </w:rPr>
  </w:style>
  <w:style w:type="paragraph" w:styleId="Huisstijl-Notitiegegevens" w:customStyle="1">
    <w:name w:val="Huisstijl - Notitiegegevens"/>
    <w:rsid w:val="006C5B02"/>
    <w:pPr>
      <w:tabs>
        <w:tab w:val="right" w:pos="1151"/>
        <w:tab w:val="left" w:pos="1264"/>
      </w:tabs>
      <w:spacing w:after="0" w:line="199" w:lineRule="exact"/>
      <w:ind w:left="1440" w:hanging="1440"/>
      <w:contextualSpacing/>
    </w:pPr>
    <w:rPr>
      <w:rFonts w:ascii="Verdana" w:hAnsi="Verdana" w:eastAsia="Calibri" w:cs="Times New Roman"/>
      <w:noProof/>
      <w:kern w:val="0"/>
      <w:sz w:val="13"/>
      <w:szCs w:val="13"/>
      <w14:ligatures w14:val="none"/>
    </w:rPr>
  </w:style>
  <w:style w:type="paragraph" w:styleId="Huisstijl-AgendagegevensW1" w:customStyle="1">
    <w:name w:val="Huisstijl - Agendagegevens W1"/>
    <w:basedOn w:val="Huisstijl-Notitiegegevens"/>
    <w:qFormat/>
    <w:rsid w:val="006C5B02"/>
    <w:pPr>
      <w:spacing w:before="90"/>
      <w:contextualSpacing w:val="0"/>
    </w:pPr>
  </w:style>
  <w:style w:type="character" w:styleId="Hyperlink">
    <w:name w:val="Hyperlink"/>
    <w:rsid w:val="006C5B02"/>
    <w:rPr>
      <w:color w:val="0000FF"/>
      <w:u w:val="single"/>
    </w:rPr>
  </w:style>
  <w:style w:type="paragraph" w:styleId="Standaard1" w:customStyle="1">
    <w:name w:val="Standaard1"/>
    <w:basedOn w:val="Standaard"/>
    <w:rsid w:val="006C5B02"/>
    <w:pPr>
      <w:spacing w:before="100" w:beforeAutospacing="1" w:after="100" w:afterAutospacing="1"/>
    </w:pPr>
    <w:rPr>
      <w:rFonts w:ascii="Times New Roman" w:hAnsi="Times New Roman" w:eastAsia="Times New Roman"/>
      <w:sz w:val="24"/>
      <w:szCs w:val="24"/>
      <w:lang w:eastAsia="nl-NL"/>
    </w:rPr>
  </w:style>
  <w:style w:type="character" w:styleId="Onopgelostemelding">
    <w:name w:val="Unresolved Mention"/>
    <w:basedOn w:val="Standaardalinea-lettertype"/>
    <w:uiPriority w:val="99"/>
    <w:semiHidden/>
    <w:unhideWhenUsed/>
    <w:rsid w:val="006C5B02"/>
    <w:rPr>
      <w:color w:val="605E5C"/>
      <w:shd w:val="clear" w:color="auto" w:fill="E1DFDD"/>
    </w:rPr>
  </w:style>
  <w:style w:type="character" w:styleId="GevolgdeHyperlink">
    <w:name w:val="FollowedHyperlink"/>
    <w:basedOn w:val="Standaardalinea-lettertype"/>
    <w:uiPriority w:val="99"/>
    <w:semiHidden/>
    <w:unhideWhenUsed/>
    <w:rsid w:val="002E4D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06.safelinks.protection.outlook.com/?url=https%3A%2F%2Feur-lex.europa.eu%2Flegal-content%2FNL%2FTXT%2F%3Furi%3DCOM%253A2025%253A694%253AFIN%26qid%3D1763375712981&amp;data=05%7C02%7Cl.haverkamp%40tweedekamer.nl%7C7ca1101cc4c241188d8908de2806290b%7C238cb5073f714afeaaab8382731a4345%7C0%7C0%7C638992204081274385%7CUnknown%7CTWFpbGZsb3d8eyJFbXB0eU1hcGkiOnRydWUsIlYiOiIwLjAuMDAwMCIsIlAiOiJXaW4zMiIsIkFOIjoiTWFpbCIsIldUIjoyfQ%3D%3D%7C0%7C%7C%7C&amp;sdata=Mf76Z6Hcn25hZyDoq%2BWTg8vRmTHMCANKSzWitGaGe%2Bk%3D&amp;reserved=0" TargetMode="External" Id="rId8" /><Relationship Type="http://schemas.openxmlformats.org/officeDocument/2006/relationships/hyperlink" Target="https://eur06.safelinks.protection.outlook.com/?url=https%3A%2F%2Feur-lex.europa.eu%2Flegal-content%2FNL%2FTXT%2F%3Furi%3DCELEX%253A52025DC0729%26qid%3D1764667086858&amp;data=05%7C02%7Cl.haverkamp%40tweedekamer.nl%7C0651063a5f63450df82708de3310c1a5%7C238cb5073f714afeaaab8382731a4345%7C0%7C0%7C639004344226151460%7CUnknown%7CTWFpbGZsb3d8eyJFbXB0eU1hcGkiOnRydWUsIlYiOiIwLjAuMDAwMCIsIlAiOiJXaW4zMiIsIkFOIjoiTWFpbCIsIldUIjoyfQ%3D%3D%7C0%7C%7C%7C&amp;sdata=c2AMg72DCWjIf4az%2Bvd5hXPW%2B0zrO%2Boisr2CiVAgZkU%3D&amp;reserved=0"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eur06.safelinks.protection.outlook.com/?url=https%3A%2F%2Feur-lex.europa.eu%2Flegal-content%2FNL%2FTXT%2F%3Furi%3DCOM%253A2025%253A692%253AFIN%26qid%3D1763376801380&amp;data=05%7C02%7Cl.haverkamp%40tweedekamer.nl%7C7ca1101cc4c241188d8908de2806290b%7C238cb5073f714afeaaab8382731a4345%7C0%7C0%7C638992204081371877%7CUnknown%7CTWFpbGZsb3d8eyJFbXB0eU1hcGkiOnRydWUsIlYiOiIwLjAuMDAwMCIsIlAiOiJXaW4zMiIsIkFOIjoiTWFpbCIsIldUIjoyfQ%3D%3D%7C0%7C%7C%7C&amp;sdata=XGdsx4Q2rgYF%2BjCPGsvqxbiGMpR7inIIkhC8GqX6ftw%3D&amp;reserved=0" TargetMode="External" Id="rId7" /><Relationship Type="http://schemas.openxmlformats.org/officeDocument/2006/relationships/hyperlink" Target="https://eur06.safelinks.protection.outlook.com/?url=https%3A%2F%2Feur-lex.europa.eu%2Flegal-content%2FNL%2FTXT%2F%3Furi%3DCELEX%253A52025PC0742%26qid%3D1764666627590&amp;data=05%7C02%7Cl.haverkamp%40tweedekamer.nl%7C0651063a5f63450df82708de3310c1a5%7C238cb5073f714afeaaab8382731a4345%7C0%7C0%7C639004344226025088%7CUnknown%7CTWFpbGZsb3d8eyJFbXB0eU1hcGkiOnRydWUsIlYiOiIwLjAuMDAwMCIsIlAiOiJXaW4zMiIsIkFOIjoiTWFpbCIsIldUIjoyfQ%3D%3D%7C0%7C%7C%7C&amp;sdata=%2B0rm1TbsFyoXteuSAkp3c%2FCbDtTkn8zxjGTm3yPwwhg%3D&amp;reserved=0"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ur06.safelinks.protection.outlook.com/?url=https%3A%2F%2Feur-lex.europa.eu%2Flegal-content%2FNL%2FTXT%2F%3Furi%3DCELEX%253A52025DC0848%26qid%3D1764067361249&amp;data=05%7C02%7Cl.haverkamp%40tweedekamer.nl%7C6f9595babd424a4343f108de2db15d08%7C238cb5073f714afeaaab8382731a4345%7C0%7C0%7C638998436964866836%7CUnknown%7CTWFpbGZsb3d8eyJFbXB0eU1hcGkiOnRydWUsIlYiOiIwLjAuMDAwMCIsIlAiOiJXaW4zMiIsIkFOIjoiTWFpbCIsIldUIjoyfQ%3D%3D%7C0%7C%7C%7C&amp;sdata=sGcvuPnmStqtN3Pz%2FkB2W2uCVwLucNgUwRVrkK1d1t4%3D&amp;reserved=0" TargetMode="External" Id="rId11" /><Relationship Type="http://schemas.openxmlformats.org/officeDocument/2006/relationships/footnotes" Target="footnotes.xml" Id="rId5" /><Relationship Type="http://schemas.openxmlformats.org/officeDocument/2006/relationships/hyperlink" Target="https://eur06.safelinks.protection.outlook.com/?url=https%3A%2F%2Feur-lex.europa.eu%2Flegal-content%2FNL%2FTXT%2F%3Furi%3DCELEX%253A52025DC0957%26qid%3D1764667800489&amp;data=05%7C02%7Cl.haverkamp%40tweedekamer.nl%7C0651063a5f63450df82708de3310c1a5%7C238cb5073f714afeaaab8382731a4345%7C0%7C0%7C639004344226213756%7CUnknown%7CTWFpbGZsb3d8eyJFbXB0eU1hcGkiOnRydWUsIlYiOiIwLjAuMDAwMCIsIlAiOiJXaW4zMiIsIkFOIjoiTWFpbCIsIldUIjoyfQ%3D%3D%7C0%7C%7C%7C&amp;sdata=0IuXH3DXocmdkPBOWlZ98ZPMNvlKH1wJ4slCaRcOLGY%3D&amp;reserved=0" TargetMode="External" Id="rId15" /><Relationship Type="http://schemas.openxmlformats.org/officeDocument/2006/relationships/hyperlink" Target="https://eur06.safelinks.protection.outlook.com/?url=https%3A%2F%2Feur-lex.europa.eu%2Flegal-content%2FNL%2FTXT%2F%3Furi%3DCELEX%253A52025DC0697%26qid%3D1764065294435&amp;data=05%7C02%7Cl.haverkamp%40tweedekamer.nl%7C6f9595babd424a4343f108de2db15d08%7C238cb5073f714afeaaab8382731a4345%7C0%7C0%7C638998436964507424%7CUnknown%7CTWFpbGZsb3d8eyJFbXB0eU1hcGkiOnRydWUsIlYiOiIwLjAuMDAwMCIsIlAiOiJXaW4zMiIsIkFOIjoiTWFpbCIsIldUIjoyfQ%3D%3D%7C0%7C%7C%7C&amp;sdata=yDPcMikU5cYHUQVLcuP6hOWu6uItjhvG9Rekck07wHk%3D&amp;reserved=0" TargetMode="External" Id="rId10" /><Relationship Type="http://schemas.openxmlformats.org/officeDocument/2006/relationships/webSettings" Target="webSettings.xml" Id="rId4" /><Relationship Type="http://schemas.openxmlformats.org/officeDocument/2006/relationships/hyperlink" Target="https://eur06.safelinks.protection.outlook.com/?url=https%3A%2F%2Feur-lex.europa.eu%2Flegal-content%2FNL%2FTXT%2F%3Furi%3DCELEX%253A52025PC0693%26qid%3D1764062655884&amp;data=05%7C02%7Cl.haverkamp%40tweedekamer.nl%7C6f9595babd424a4343f108de2db15d08%7C238cb5073f714afeaaab8382731a4345%7C0%7C0%7C638998436964310477%7CUnknown%7CTWFpbGZsb3d8eyJFbXB0eU1hcGkiOnRydWUsIlYiOiIwLjAuMDAwMCIsIlAiOiJXaW4zMiIsIkFOIjoiTWFpbCIsIldUIjoyfQ%3D%3D%7C0%7C%7C%7C&amp;sdata=ig2SK8QIwRyIoIoibmRsunBG8Qt0H7TosHNG3MKqjjA%3D&amp;reserved=0" TargetMode="External" Id="rId9" /><Relationship Type="http://schemas.openxmlformats.org/officeDocument/2006/relationships/hyperlink" Target="http://data.consilium.europa.eu/doc/document/ST-16140-2025-INIT/nl/pdf"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2025-12-04T08:49:00.0000000Z</dcterms:created>
  <dcterms:modified xsi:type="dcterms:W3CDTF">2025-12-04T10:10:02.5265885Z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0x010100F96ABE00C9F7554DBA2E5F40B5B3C11B</vt:lpwstr>
  </property>
  <property fmtid="{D5CDD505-2E9C-101B-9397-08002B2CF9AE}" pid="3" name="_dlc_DocIdItemGuid">
    <vt:lpwstr>09ae4ef9-2876-46f3-a416-36372350afc3</vt:lpwstr>
  </property>
</Properties>
</file>