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75E4A" w:rsidR="000457A2" w:rsidRDefault="00637A89" w14:paraId="3283F129" w14:textId="2A3DEDE0">
      <w:bookmarkStart w:name="_GoBack" w:id="0"/>
      <w:bookmarkEnd w:id="0"/>
      <w:r>
        <w:t xml:space="preserve">Regeling van de </w:t>
      </w:r>
      <w:r w:rsidR="00282EFB">
        <w:t>Staatssecretaris</w:t>
      </w:r>
      <w:r w:rsidR="00475E4A">
        <w:t xml:space="preserve"> </w:t>
      </w:r>
      <w:r>
        <w:t xml:space="preserve">van Infrastructuur en Waterstaat van </w:t>
      </w:r>
      <w:r w:rsidR="006D5502">
        <w:t>[datum]</w:t>
      </w:r>
      <w:r w:rsidR="00282EFB">
        <w:t xml:space="preserve"> </w:t>
      </w:r>
      <w:r>
        <w:t>,</w:t>
      </w:r>
      <w:r w:rsidR="00282EFB">
        <w:t xml:space="preserve"> </w:t>
      </w:r>
      <w:r>
        <w:t>nr. IENW/BSK</w:t>
      </w:r>
      <w:r w:rsidRPr="00475E4A">
        <w:t>-</w:t>
      </w:r>
      <w:r w:rsidR="00F25DB3">
        <w:t>2025/165421</w:t>
      </w:r>
      <w:r w:rsidRPr="00475E4A">
        <w:t xml:space="preserve">, </w:t>
      </w:r>
      <w:r w:rsidRPr="00475E4A" w:rsidR="00475E4A">
        <w:t xml:space="preserve">tot wijziging van de Regeling stimulering schoon en emissieloos bouwen voor medeoverheden in verband met toetreding van nieuwe deelnemers </w:t>
      </w:r>
      <w:r w:rsidR="00625FC5">
        <w:t>tot</w:t>
      </w:r>
      <w:r w:rsidRPr="00475E4A" w:rsidR="00475E4A">
        <w:t xml:space="preserve"> het convenant, aanpassing berekeningswijze van de rijksbijdrage en enkele andere kleine wijzigingen </w:t>
      </w:r>
    </w:p>
    <w:p w:rsidR="000457A2" w:rsidRDefault="000457A2" w14:paraId="226E324F" w14:textId="77777777"/>
    <w:p w:rsidR="000457A2" w:rsidP="000457A2" w:rsidRDefault="000457A2" w14:paraId="309B11D4" w14:textId="0205C6ED">
      <w:r>
        <w:t>(KetenID WG</w:t>
      </w:r>
      <w:r w:rsidR="00475E4A">
        <w:t>K028063</w:t>
      </w:r>
      <w:r>
        <w:t xml:space="preserve">)  </w:t>
      </w:r>
    </w:p>
    <w:p w:rsidR="000457A2" w:rsidRDefault="000457A2" w14:paraId="026F110A" w14:textId="77777777"/>
    <w:p w:rsidR="00B34EBE" w:rsidRDefault="00637A89" w14:paraId="03E46F27" w14:textId="5A5ED06F">
      <w:r>
        <w:t> </w:t>
      </w:r>
    </w:p>
    <w:p w:rsidR="00475E4A" w:rsidRDefault="00637A89" w14:paraId="49075D87" w14:textId="77777777">
      <w:r>
        <w:t xml:space="preserve">De </w:t>
      </w:r>
      <w:r w:rsidR="00B03B49">
        <w:t xml:space="preserve">Staatssecretaris </w:t>
      </w:r>
      <w:r>
        <w:t>van Infrastructuur en</w:t>
      </w:r>
      <w:r w:rsidR="00475E4A">
        <w:t xml:space="preserve"> Waterstaat</w:t>
      </w:r>
    </w:p>
    <w:p w:rsidR="00B34EBE" w:rsidRDefault="00637A89" w14:paraId="6D88D20E" w14:textId="2F96D8C9">
      <w:r>
        <w:t> </w:t>
      </w:r>
    </w:p>
    <w:p w:rsidR="00B34EBE" w:rsidRDefault="00637A89" w14:paraId="5A90AFF1" w14:textId="18B2FD72">
      <w:r>
        <w:t xml:space="preserve">Gelet op </w:t>
      </w:r>
      <w:r w:rsidR="00282EFB">
        <w:t>artikel</w:t>
      </w:r>
      <w:r w:rsidR="00475E4A">
        <w:t xml:space="preserve"> 4, eerste en tweede lid, en 5, onderdeel a tot en met d en h, van de Kaderwet subsidies I en M</w:t>
      </w:r>
      <w:r>
        <w:t>;</w:t>
      </w:r>
      <w:r>
        <w:br/>
        <w:t> </w:t>
      </w:r>
    </w:p>
    <w:p w:rsidR="00475E4A" w:rsidP="00475E4A" w:rsidRDefault="00637A89" w14:paraId="604DED01" w14:textId="77777777">
      <w:pPr>
        <w:rPr>
          <w:b/>
          <w:bCs/>
        </w:rPr>
      </w:pPr>
      <w:r>
        <w:t>BESLUIT:</w:t>
      </w:r>
      <w:r>
        <w:br/>
      </w:r>
      <w:r>
        <w:br/>
      </w:r>
      <w:r w:rsidR="00475E4A">
        <w:rPr>
          <w:b/>
          <w:bCs/>
        </w:rPr>
        <w:t>ARTIKEL I</w:t>
      </w:r>
    </w:p>
    <w:p w:rsidR="00475E4A" w:rsidP="00475E4A" w:rsidRDefault="00475E4A" w14:paraId="288A2CFC" w14:textId="77777777">
      <w:pPr>
        <w:rPr>
          <w:b/>
          <w:bCs/>
        </w:rPr>
      </w:pPr>
    </w:p>
    <w:p w:rsidR="00475E4A" w:rsidP="00475E4A" w:rsidRDefault="00475E4A" w14:paraId="57EC8F6B" w14:textId="77777777">
      <w:r>
        <w:t>De Regeling stimulering schoon en emissieloos bouwen voor medeoverheden wordt als volgt gewijzigd:</w:t>
      </w:r>
    </w:p>
    <w:p w:rsidR="00475E4A" w:rsidP="00475E4A" w:rsidRDefault="00475E4A" w14:paraId="2946EDD7" w14:textId="77777777"/>
    <w:p w:rsidR="00475E4A" w:rsidP="00475E4A" w:rsidRDefault="00475E4A" w14:paraId="211F0F26" w14:textId="77777777">
      <w:r>
        <w:t>A</w:t>
      </w:r>
    </w:p>
    <w:p w:rsidR="00475E4A" w:rsidP="00475E4A" w:rsidRDefault="00475E4A" w14:paraId="3F94E791" w14:textId="77777777"/>
    <w:p w:rsidR="00475E4A" w:rsidP="00475E4A" w:rsidRDefault="00475E4A" w14:paraId="4E847972" w14:textId="77777777">
      <w:r>
        <w:t xml:space="preserve">In artikel 1 wordt het begrip </w:t>
      </w:r>
      <w:r>
        <w:rPr>
          <w:i/>
          <w:iCs/>
        </w:rPr>
        <w:t>bouwmachine</w:t>
      </w:r>
      <w:r>
        <w:t xml:space="preserve"> als volgt gewijzigd: </w:t>
      </w:r>
    </w:p>
    <w:p w:rsidR="00625331" w:rsidP="00475E4A" w:rsidRDefault="00625331" w14:paraId="6F47F42F" w14:textId="77777777"/>
    <w:p w:rsidR="00475E4A" w:rsidP="00475E4A" w:rsidRDefault="00475E4A" w14:paraId="4B33E71A" w14:textId="522A8D38">
      <w:pPr>
        <w:pStyle w:val="ListParagraph"/>
        <w:numPr>
          <w:ilvl w:val="0"/>
          <w:numId w:val="23"/>
        </w:numPr>
      </w:pPr>
      <w:r>
        <w:t xml:space="preserve">In onderdeel c, </w:t>
      </w:r>
      <w:r w:rsidR="008C6A51">
        <w:t>sub</w:t>
      </w:r>
      <w:r>
        <w:t xml:space="preserve">onderdeel 1°, vervalt de zinsnede ‘en met de carrosseriecode 9, 10, 15, 16, 26, 27 en 28 of de aanduiding voor speciale doeleinden SF’. </w:t>
      </w:r>
    </w:p>
    <w:p w:rsidR="00475E4A" w:rsidP="00475E4A" w:rsidRDefault="00475E4A" w14:paraId="21359E5F" w14:textId="77777777">
      <w:pPr>
        <w:pStyle w:val="ListParagraph"/>
        <w:numPr>
          <w:ilvl w:val="0"/>
          <w:numId w:val="23"/>
        </w:numPr>
      </w:pPr>
      <w:r>
        <w:t xml:space="preserve">Onderdeel e vervalt onder vervanging van ‘; en’ door een punt aan het slot van onderdeel d. </w:t>
      </w:r>
    </w:p>
    <w:p w:rsidR="00475E4A" w:rsidP="00475E4A" w:rsidRDefault="00475E4A" w14:paraId="210978C2" w14:textId="77777777"/>
    <w:p w:rsidR="00475E4A" w:rsidP="00475E4A" w:rsidRDefault="00475E4A" w14:paraId="036A6094" w14:textId="77777777">
      <w:r>
        <w:t>B</w:t>
      </w:r>
    </w:p>
    <w:p w:rsidR="00475E4A" w:rsidP="00475E4A" w:rsidRDefault="00475E4A" w14:paraId="2307C6CA" w14:textId="77777777"/>
    <w:p w:rsidR="00475E4A" w:rsidP="00475E4A" w:rsidRDefault="00475E4A" w14:paraId="7C61EF9F" w14:textId="77777777">
      <w:r>
        <w:t>Artikel 5 wordt als volgt gewijzigd:</w:t>
      </w:r>
    </w:p>
    <w:p w:rsidR="00475E4A" w:rsidP="00475E4A" w:rsidRDefault="00475E4A" w14:paraId="5432A876" w14:textId="77777777"/>
    <w:p w:rsidR="00475E4A" w:rsidP="00475E4A" w:rsidRDefault="00625331" w14:paraId="3675A0E4" w14:textId="2FD4C7FD">
      <w:pPr>
        <w:pStyle w:val="ListParagraph"/>
        <w:numPr>
          <w:ilvl w:val="0"/>
          <w:numId w:val="24"/>
        </w:numPr>
      </w:pPr>
      <w:r>
        <w:t>In het tweede lid wordt o</w:t>
      </w:r>
      <w:r w:rsidR="00475E4A">
        <w:t>nder vervanging van de punt aan het slot van onderdeel b</w:t>
      </w:r>
      <w:r w:rsidR="00666577">
        <w:t xml:space="preserve"> </w:t>
      </w:r>
      <w:r w:rsidR="00475E4A">
        <w:t>door een puntkomma een onderdeel toegevoegd, luidende:</w:t>
      </w:r>
    </w:p>
    <w:p w:rsidR="00475E4A" w:rsidP="00475E4A" w:rsidRDefault="00475E4A" w14:paraId="59AA257D" w14:textId="77777777">
      <w:pPr>
        <w:pStyle w:val="ListParagraph"/>
      </w:pPr>
      <w:r>
        <w:t>c. voor het jaar 2026:</w:t>
      </w:r>
    </w:p>
    <w:p w:rsidR="00475E4A" w:rsidP="00475E4A" w:rsidRDefault="00475E4A" w14:paraId="6F6D245E" w14:textId="048EFA4E">
      <w:pPr>
        <w:pStyle w:val="ListParagraph"/>
      </w:pPr>
      <w:r>
        <w:t xml:space="preserve">1°. € </w:t>
      </w:r>
      <w:r w:rsidR="00A3241E">
        <w:t xml:space="preserve">100.000.000 </w:t>
      </w:r>
      <w:r>
        <w:t>inclusief btw voor de kosten van de inzet van emissieloze bouwmachines en emissieloze vaartuigen bij aanbestede bouwwerkzaamheden ten behoeve van aanleg, verbetering, beheer en onderhoud en bediening van infrastructuur als bedoeld in de Wet Mobiliteitsfonds, die door een provincie, gemeente of waterschap wordt beheerd;</w:t>
      </w:r>
    </w:p>
    <w:p w:rsidR="00475E4A" w:rsidP="00475E4A" w:rsidRDefault="00475E4A" w14:paraId="491922EF" w14:textId="3E343749">
      <w:pPr>
        <w:pStyle w:val="ListParagraph"/>
      </w:pPr>
      <w:r>
        <w:t>2°. € 20.000.000 inclusief btw voor kosten van de inzet van emissieloze bouwmachines en emissieloze vaartuigen bij aanbestede werkzaamheden die niet onder het tweede lid, onderdeel c, onderdeel 1°, vallen.</w:t>
      </w:r>
    </w:p>
    <w:p w:rsidR="00475E4A" w:rsidP="00475E4A" w:rsidRDefault="00475E4A" w14:paraId="645DFD2B" w14:textId="430E1F49">
      <w:pPr>
        <w:pStyle w:val="ListParagraph"/>
        <w:numPr>
          <w:ilvl w:val="0"/>
          <w:numId w:val="24"/>
        </w:numPr>
      </w:pPr>
      <w:r>
        <w:t xml:space="preserve">In de aanhef van het derde lid vervalt ‘, onderdeel b, onderdeel 2°’. </w:t>
      </w:r>
    </w:p>
    <w:p w:rsidR="00475E4A" w:rsidP="00475E4A" w:rsidRDefault="00475E4A" w14:paraId="04C64C5E" w14:textId="77777777">
      <w:pPr>
        <w:pStyle w:val="ListParagraph"/>
        <w:numPr>
          <w:ilvl w:val="0"/>
          <w:numId w:val="24"/>
        </w:numPr>
      </w:pPr>
      <w:r>
        <w:t xml:space="preserve">In het vierde lid wordt ‘2025’ vervangen door ‘2026’ en wordt ‘onderdeel b’ tweemaal vervangen door ‘onderdeel c’.  </w:t>
      </w:r>
    </w:p>
    <w:p w:rsidR="00475E4A" w:rsidP="00475E4A" w:rsidRDefault="00475E4A" w14:paraId="466C5B49" w14:textId="77777777">
      <w:pPr>
        <w:pStyle w:val="ListParagraph"/>
        <w:numPr>
          <w:ilvl w:val="0"/>
          <w:numId w:val="24"/>
        </w:numPr>
      </w:pPr>
      <w:r>
        <w:t xml:space="preserve">In het vijfde lid wordt ‘onderdeel b’ driemaal vervangen door ‘onderdeel c’ en wordt ‘2025’ vervangen door ‘2026’. </w:t>
      </w:r>
    </w:p>
    <w:p w:rsidR="00475E4A" w:rsidP="00475E4A" w:rsidRDefault="00475E4A" w14:paraId="45F6CEA5" w14:textId="13E01F3F">
      <w:pPr>
        <w:pStyle w:val="ListParagraph"/>
        <w:numPr>
          <w:ilvl w:val="0"/>
          <w:numId w:val="24"/>
        </w:numPr>
      </w:pPr>
      <w:r>
        <w:lastRenderedPageBreak/>
        <w:t xml:space="preserve">Het zesde lid </w:t>
      </w:r>
      <w:r w:rsidR="00A67DB4">
        <w:t xml:space="preserve">tot en met achtste lid </w:t>
      </w:r>
      <w:r>
        <w:t>kom</w:t>
      </w:r>
      <w:r w:rsidR="00A67DB4">
        <w:t>en</w:t>
      </w:r>
      <w:r>
        <w:t xml:space="preserve"> te luiden:</w:t>
      </w:r>
      <w:r>
        <w:br/>
        <w:t xml:space="preserve">6. Per aanvrager genoemd in bijlage 2 is voor het betreffende jaar een individueel rijksbijdrageplafond beschikbaar van ten hoogste € 1.000.000 inclusief btw tot en met 30 juni van dat jaar. </w:t>
      </w:r>
    </w:p>
    <w:p w:rsidR="00475E4A" w:rsidP="00B96BE6" w:rsidRDefault="00475E4A" w14:paraId="28626297" w14:textId="4D776508">
      <w:pPr>
        <w:pStyle w:val="ListParagraph"/>
      </w:pPr>
      <w:r>
        <w:t xml:space="preserve">7. Vanaf 1 juli tot het sluiten van de aanvraagperiode in het betreffende jaar geldt er geen maximaal rijksbijdrageplafond per aanvrager, met inachtneming van het maximale bedrag per aanvrager over de gehele looptijd van de regeling genoemd in artikel 6, tweede lid. </w:t>
      </w:r>
    </w:p>
    <w:p w:rsidR="00475E4A" w:rsidP="00475E4A" w:rsidRDefault="00475E4A" w14:paraId="616CFBBE" w14:textId="77777777">
      <w:pPr>
        <w:pStyle w:val="ListParagraph"/>
      </w:pPr>
      <w:r>
        <w:t>8. Nieuwe ondertekenaars van het Convenant Schoon en Emissieloos Bouwen worden in bijlage 2 bij de regeling opgenomen vanaf het volgende jaar indien zij dit convenant voor 20 augustus van enig jaar ondertekend hebben.</w:t>
      </w:r>
    </w:p>
    <w:p w:rsidR="00475E4A" w:rsidP="00475E4A" w:rsidRDefault="00475E4A" w14:paraId="2D028D67" w14:textId="77777777"/>
    <w:p w:rsidR="00475E4A" w:rsidP="00475E4A" w:rsidRDefault="00475E4A" w14:paraId="55F7790A" w14:textId="77777777">
      <w:r>
        <w:t>C</w:t>
      </w:r>
    </w:p>
    <w:p w:rsidR="00475E4A" w:rsidP="00475E4A" w:rsidRDefault="00475E4A" w14:paraId="11EB5F8F" w14:textId="77777777"/>
    <w:p w:rsidR="00475E4A" w:rsidP="00475E4A" w:rsidRDefault="00475E4A" w14:paraId="0DBDAC25" w14:textId="77777777">
      <w:r>
        <w:t xml:space="preserve">In artikel 6, eerste lid, wordt na ‘bijlage 3’ ingevoegd ‘, waarbij € 2.400 inclusief btw wordt opgeteld als forfaitair startbedrag’. </w:t>
      </w:r>
    </w:p>
    <w:p w:rsidR="00475E4A" w:rsidP="00475E4A" w:rsidRDefault="00475E4A" w14:paraId="4081CDF3" w14:textId="77777777"/>
    <w:p w:rsidR="00475E4A" w:rsidP="00475E4A" w:rsidRDefault="00475E4A" w14:paraId="4EC6BA32" w14:textId="77777777">
      <w:r>
        <w:t>D</w:t>
      </w:r>
    </w:p>
    <w:p w:rsidR="00475E4A" w:rsidP="00475E4A" w:rsidRDefault="00475E4A" w14:paraId="38E1DE9D" w14:textId="77777777"/>
    <w:p w:rsidR="00475E4A" w:rsidP="00475E4A" w:rsidRDefault="00475E4A" w14:paraId="4C260DB1" w14:textId="77777777">
      <w:r>
        <w:t>Onder vervanging van de punt aan het slot van artikel 7, tweede lid, onderdeel b door een puntkomma wordt een onderdeel toegevoegd, luidende:</w:t>
      </w:r>
    </w:p>
    <w:p w:rsidR="00475E4A" w:rsidP="00475E4A" w:rsidRDefault="00475E4A" w14:paraId="6AE82547" w14:textId="77777777">
      <w:r>
        <w:t xml:space="preserve">c. voor het jaar 2026 vanaf 13 januari tot en met 11 september. </w:t>
      </w:r>
    </w:p>
    <w:p w:rsidR="00475E4A" w:rsidP="00475E4A" w:rsidRDefault="00475E4A" w14:paraId="66EAF6CC" w14:textId="77777777"/>
    <w:p w:rsidR="00475E4A" w:rsidP="00475E4A" w:rsidRDefault="00475E4A" w14:paraId="5F0AE06D" w14:textId="77777777">
      <w:r>
        <w:t>E</w:t>
      </w:r>
    </w:p>
    <w:p w:rsidR="00475E4A" w:rsidP="00475E4A" w:rsidRDefault="00475E4A" w14:paraId="3F509A27" w14:textId="77777777"/>
    <w:p w:rsidR="00475E4A" w:rsidP="00475E4A" w:rsidRDefault="00475E4A" w14:paraId="12369ADE" w14:textId="44266508">
      <w:r>
        <w:t xml:space="preserve">In artikel 11, vierde lid, </w:t>
      </w:r>
      <w:r w:rsidR="0043114A">
        <w:t>wordt ‘Uiterlijk drie maanden na afronding van de bouwwerkzaamheid worden’ vervangen door ‘Na afronding van de bouwwerkzaamheid worden op verzoek’.</w:t>
      </w:r>
      <w:r>
        <w:t xml:space="preserve"> </w:t>
      </w:r>
    </w:p>
    <w:p w:rsidR="00475E4A" w:rsidP="00475E4A" w:rsidRDefault="00475E4A" w14:paraId="53E0022D" w14:textId="77777777"/>
    <w:p w:rsidR="00475E4A" w:rsidP="00475E4A" w:rsidRDefault="00475E4A" w14:paraId="53C055C8" w14:textId="77777777">
      <w:r>
        <w:t>F</w:t>
      </w:r>
    </w:p>
    <w:p w:rsidR="00475E4A" w:rsidP="00475E4A" w:rsidRDefault="00475E4A" w14:paraId="14A7C6E8" w14:textId="77777777"/>
    <w:p w:rsidR="00475E4A" w:rsidP="00475E4A" w:rsidRDefault="00475E4A" w14:paraId="03865F51" w14:textId="77777777">
      <w:r>
        <w:t xml:space="preserve">Bijlage 1 wordt vervangen door bijlage 1 bij deze regeling. </w:t>
      </w:r>
    </w:p>
    <w:p w:rsidR="00475E4A" w:rsidP="00475E4A" w:rsidRDefault="00475E4A" w14:paraId="55036045" w14:textId="77777777"/>
    <w:p w:rsidR="00475E4A" w:rsidP="00475E4A" w:rsidRDefault="00475E4A" w14:paraId="7D911998" w14:textId="77777777">
      <w:r>
        <w:t>G</w:t>
      </w:r>
    </w:p>
    <w:p w:rsidR="00475E4A" w:rsidP="00475E4A" w:rsidRDefault="00475E4A" w14:paraId="428FD6F4" w14:textId="77777777"/>
    <w:p w:rsidR="00475E4A" w:rsidP="00475E4A" w:rsidRDefault="00475E4A" w14:paraId="23361680" w14:textId="77777777">
      <w:r>
        <w:t>Bijlage 2 wordt vervangen door bijlage 2 bij deze regeling.</w:t>
      </w:r>
    </w:p>
    <w:p w:rsidR="00475E4A" w:rsidP="00475E4A" w:rsidRDefault="00475E4A" w14:paraId="6D09E764" w14:textId="77777777"/>
    <w:p w:rsidR="00475E4A" w:rsidP="00475E4A" w:rsidRDefault="00475E4A" w14:paraId="2FFEDEB1" w14:textId="77777777">
      <w:r>
        <w:t>H</w:t>
      </w:r>
    </w:p>
    <w:p w:rsidR="00475E4A" w:rsidP="00475E4A" w:rsidRDefault="00475E4A" w14:paraId="5FB1ED69" w14:textId="77777777"/>
    <w:p w:rsidR="00475E4A" w:rsidP="00475E4A" w:rsidRDefault="00475E4A" w14:paraId="47EDCF6D" w14:textId="77777777">
      <w:r>
        <w:t xml:space="preserve">Bijlage 3 wordt vervangen door bijlage 3 bij deze regeling. </w:t>
      </w:r>
    </w:p>
    <w:p w:rsidR="00475E4A" w:rsidP="00475E4A" w:rsidRDefault="00475E4A" w14:paraId="093B7339" w14:textId="77777777"/>
    <w:p w:rsidR="00475E4A" w:rsidP="00475E4A" w:rsidRDefault="00475E4A" w14:paraId="48C01764" w14:textId="77777777">
      <w:pPr>
        <w:rPr>
          <w:b/>
          <w:bCs/>
        </w:rPr>
      </w:pPr>
      <w:r>
        <w:rPr>
          <w:b/>
          <w:bCs/>
        </w:rPr>
        <w:t>ARTIKEL II</w:t>
      </w:r>
    </w:p>
    <w:p w:rsidR="00475E4A" w:rsidP="00475E4A" w:rsidRDefault="00475E4A" w14:paraId="0C4E2E53" w14:textId="77777777">
      <w:pPr>
        <w:rPr>
          <w:b/>
          <w:bCs/>
        </w:rPr>
      </w:pPr>
    </w:p>
    <w:p w:rsidRPr="00A8121C" w:rsidR="00475E4A" w:rsidP="00475E4A" w:rsidRDefault="00475E4A" w14:paraId="2E53D535" w14:textId="77777777">
      <w:r>
        <w:t>Deze regeling treedt in werking met ingang van 1 januari 2026.</w:t>
      </w:r>
    </w:p>
    <w:p w:rsidR="00475E4A" w:rsidP="00475E4A" w:rsidRDefault="00475E4A" w14:paraId="61272ECA" w14:textId="77777777"/>
    <w:p w:rsidR="00475E4A" w:rsidP="00475E4A" w:rsidRDefault="00637A89" w14:paraId="0270245E" w14:textId="77777777">
      <w:pPr>
        <w:pStyle w:val="HBJZ-Kamerstukken-regelafstand13"/>
      </w:pPr>
      <w:r>
        <w:t>Deze regeling zal met de toelichting in de Staatscourant worden geplaatst.</w:t>
      </w:r>
      <w:r>
        <w:br/>
      </w:r>
      <w:r>
        <w:br/>
      </w:r>
      <w:r w:rsidR="006D5502">
        <w:t>DE STAATSSECRETARIS VAN INFRASTRUCTUUR EN WATERSTAAT</w:t>
      </w:r>
      <w:r w:rsidR="00341966">
        <w:t xml:space="preserve"> </w:t>
      </w:r>
      <w:r w:rsidR="006D5502">
        <w:t>-</w:t>
      </w:r>
      <w:r w:rsidR="00341966">
        <w:t xml:space="preserve"> </w:t>
      </w:r>
      <w:r w:rsidR="006D5502">
        <w:t>OPENBAAR VERVOER EN MILIEU</w:t>
      </w:r>
      <w:r w:rsidR="00CB2C20">
        <w:t>,</w:t>
      </w:r>
      <w:r w:rsidR="00475E4A">
        <w:br/>
      </w:r>
    </w:p>
    <w:p w:rsidR="00475E4A" w:rsidP="00475E4A" w:rsidRDefault="00475E4A" w14:paraId="7E78933E" w14:textId="77777777">
      <w:pPr>
        <w:pStyle w:val="HBJZ-Kamerstukken-regelafstand13"/>
      </w:pPr>
    </w:p>
    <w:p w:rsidR="00475E4A" w:rsidP="00475E4A" w:rsidRDefault="00475E4A" w14:paraId="4127CA75" w14:textId="77777777">
      <w:pPr>
        <w:pStyle w:val="HBJZ-Kamerstukken-regelafstand13"/>
      </w:pPr>
    </w:p>
    <w:p w:rsidR="00475E4A" w:rsidP="00475E4A" w:rsidRDefault="00475E4A" w14:paraId="337FD321" w14:textId="77777777">
      <w:pPr>
        <w:pStyle w:val="HBJZ-Kamerstukken-regelafstand13"/>
      </w:pPr>
    </w:p>
    <w:p w:rsidR="00475E4A" w:rsidP="00475E4A" w:rsidRDefault="00475E4A" w14:paraId="4CEC6316" w14:textId="77777777">
      <w:pPr>
        <w:pStyle w:val="HBJZ-Kamerstukken-regelafstand13"/>
      </w:pPr>
    </w:p>
    <w:p w:rsidR="00475E4A" w:rsidP="00475E4A" w:rsidRDefault="008C42E8" w14:paraId="7BBA9A7F" w14:textId="3A8891A0">
      <w:pPr>
        <w:pStyle w:val="HBJZ-Kamerstukken-regelafstand13"/>
      </w:pPr>
      <w:r w:rsidRPr="008C42E8">
        <w:t>A</w:t>
      </w:r>
      <w:r w:rsidRPr="008C42E8" w:rsidR="006D5502">
        <w:t xml:space="preserve">.A. </w:t>
      </w:r>
      <w:r w:rsidRPr="008C42E8">
        <w:t>Aartsen</w:t>
      </w:r>
      <w:r w:rsidRPr="008C42E8" w:rsidR="00637A89">
        <w:br/>
      </w:r>
    </w:p>
    <w:p w:rsidR="00475E4A" w:rsidRDefault="00475E4A" w14:paraId="24476E29" w14:textId="77777777">
      <w:pPr>
        <w:spacing w:line="240" w:lineRule="auto"/>
      </w:pPr>
      <w:r>
        <w:br w:type="page"/>
      </w:r>
    </w:p>
    <w:p w:rsidRPr="008C42E8" w:rsidR="00B34EBE" w:rsidP="00475E4A" w:rsidRDefault="00B34EBE" w14:paraId="2074C3CF" w14:textId="77777777">
      <w:pPr>
        <w:pStyle w:val="HBJZ-Kamerstukken-regelafstand13"/>
      </w:pPr>
    </w:p>
    <w:p w:rsidRPr="008C42E8" w:rsidR="00CB2C20" w:rsidRDefault="00CB2C20" w14:paraId="46C64A4F" w14:textId="77777777"/>
    <w:p w:rsidRPr="008C42E8" w:rsidR="00CB2C20" w:rsidRDefault="00CB2C20" w14:paraId="474F838A" w14:textId="77777777"/>
    <w:p w:rsidR="00475E4A" w:rsidP="00475E4A" w:rsidRDefault="00475E4A" w14:paraId="254873D2" w14:textId="4125462D">
      <w:pPr>
        <w:rPr>
          <w:b/>
          <w:bCs/>
        </w:rPr>
      </w:pPr>
      <w:r>
        <w:rPr>
          <w:b/>
          <w:bCs/>
        </w:rPr>
        <w:t xml:space="preserve">BIJLAGE 1 BEHORENDE BIJ ARTIKEL I, ONDERDEEL F, VAN DE REGELING TOT WIJZIGING VAN DE REGELING STIMULERING SCHOON EN EMISSIELOOS BOUWEN VOOR MEDEOVERHEDEN IN VERBAND MET TOETREDING VAN NIEUWE DEELNEMERS </w:t>
      </w:r>
      <w:r w:rsidR="008F508B">
        <w:rPr>
          <w:b/>
          <w:bCs/>
        </w:rPr>
        <w:t>TOT</w:t>
      </w:r>
      <w:r>
        <w:rPr>
          <w:b/>
          <w:bCs/>
        </w:rPr>
        <w:t xml:space="preserve"> HET CONVENANT, AANPASSING BEREKENINGSWIJZE VAN DE RIJKSBIJDRAGE EN ENKELE ANDERE KLEINE WIJZIGINGEN</w:t>
      </w:r>
    </w:p>
    <w:p w:rsidR="00475E4A" w:rsidP="00475E4A" w:rsidRDefault="00475E4A" w14:paraId="678FF7A2" w14:textId="77777777">
      <w:pPr>
        <w:rPr>
          <w:b/>
          <w:bCs/>
        </w:rPr>
      </w:pPr>
    </w:p>
    <w:p w:rsidR="00475E4A" w:rsidP="00475E4A" w:rsidRDefault="00475E4A" w14:paraId="191BF279" w14:textId="77777777">
      <w:pPr>
        <w:rPr>
          <w:b/>
          <w:bCs/>
        </w:rPr>
      </w:pPr>
      <w:r>
        <w:rPr>
          <w:b/>
          <w:bCs/>
        </w:rPr>
        <w:t>Bijlage 1. Lijst van bouwmachines behorende bij artikel 1 van de regeling</w:t>
      </w:r>
    </w:p>
    <w:p w:rsidR="00475E4A" w:rsidP="00475E4A" w:rsidRDefault="00475E4A" w14:paraId="6031BFA8" w14:textId="77777777">
      <w:pPr>
        <w:rPr>
          <w:b/>
          <w:bCs/>
        </w:rPr>
      </w:pPr>
    </w:p>
    <w:p w:rsidRPr="00A2109C" w:rsidR="00475E4A" w:rsidP="00475E4A" w:rsidRDefault="00475E4A" w14:paraId="6F92769B" w14:textId="77777777">
      <w:pPr>
        <w:widowControl w:val="0"/>
        <w:autoSpaceDE w:val="0"/>
        <w:adjustRightInd w:val="0"/>
        <w:spacing w:after="240" w:line="240" w:lineRule="auto"/>
        <w:textAlignment w:val="auto"/>
        <w:rPr>
          <w:rFonts w:cs="Arial" w:eastAsiaTheme="minorEastAsia"/>
          <w:b/>
          <w:bCs/>
          <w:color w:val="auto"/>
          <w14:ligatures w14:val="standardContextual"/>
        </w:rPr>
      </w:pPr>
      <w:r w:rsidRPr="00A2109C">
        <w:rPr>
          <w:rFonts w:cs="Arial" w:eastAsiaTheme="minorEastAsia"/>
          <w:b/>
          <w:bCs/>
          <w:color w:val="auto"/>
          <w14:ligatures w14:val="standardContextual"/>
        </w:rPr>
        <w:t>A. Bouwwerktuigen</w:t>
      </w:r>
    </w:p>
    <w:p w:rsidRPr="00A2109C" w:rsidR="00475E4A" w:rsidP="00475E4A" w:rsidRDefault="00475E4A" w14:paraId="60DD0BB2" w14:textId="77777777">
      <w:pPr>
        <w:widowControl w:val="0"/>
        <w:autoSpaceDE w:val="0"/>
        <w:adjustRightInd w:val="0"/>
        <w:spacing w:after="240" w:line="240" w:lineRule="auto"/>
        <w:textAlignment w:val="auto"/>
        <w:rPr>
          <w:rFonts w:cs="Arial" w:eastAsiaTheme="minorEastAsia"/>
          <w:b/>
          <w:bCs/>
          <w:color w:val="auto"/>
          <w14:ligatures w14:val="standardContextual"/>
        </w:rPr>
      </w:pPr>
      <w:r w:rsidRPr="00A2109C">
        <w:rPr>
          <w:rFonts w:cs="Arial" w:eastAsiaTheme="minorEastAsia"/>
          <w:b/>
          <w:bCs/>
          <w:color w:val="auto"/>
          <w14:ligatures w14:val="standardContextual"/>
        </w:rPr>
        <w:t>Mobiele machines</w:t>
      </w:r>
    </w:p>
    <w:p w:rsidRPr="00A2109C" w:rsidR="00475E4A" w:rsidP="00475E4A" w:rsidRDefault="00475E4A" w14:paraId="1B16A161" w14:textId="77777777">
      <w:pPr>
        <w:widowControl w:val="0"/>
        <w:autoSpaceDE w:val="0"/>
        <w:adjustRightInd w:val="0"/>
        <w:spacing w:line="240" w:lineRule="auto"/>
        <w:textAlignment w:val="auto"/>
        <w:rPr>
          <w:rFonts w:cs="Arial" w:eastAsiaTheme="minorEastAsia"/>
          <w:color w:val="auto"/>
          <w14:ligatures w14:val="standardContextual"/>
        </w:rPr>
      </w:pPr>
      <w:r w:rsidRPr="00A2109C">
        <w:rPr>
          <w:rFonts w:cs="Arial" w:eastAsiaTheme="minorEastAsia"/>
          <w:color w:val="auto"/>
          <w14:ligatures w14:val="standardContextual"/>
        </w:rPr>
        <w:t>A1.1 asfaltzaag, betonzaag (rijdend)</w:t>
      </w:r>
    </w:p>
    <w:p w:rsidRPr="00A2109C" w:rsidR="00475E4A" w:rsidP="00475E4A" w:rsidRDefault="00475E4A" w14:paraId="4E39C76D" w14:textId="77777777">
      <w:pPr>
        <w:widowControl w:val="0"/>
        <w:autoSpaceDE w:val="0"/>
        <w:adjustRightInd w:val="0"/>
        <w:spacing w:line="240" w:lineRule="auto"/>
        <w:textAlignment w:val="auto"/>
        <w:rPr>
          <w:rFonts w:cs="Arial" w:eastAsiaTheme="minorEastAsia"/>
          <w:color w:val="auto"/>
          <w14:ligatures w14:val="standardContextual"/>
        </w:rPr>
      </w:pPr>
      <w:r w:rsidRPr="00A2109C">
        <w:rPr>
          <w:rFonts w:cs="Arial" w:eastAsiaTheme="minorEastAsia"/>
          <w:color w:val="auto"/>
          <w14:ligatures w14:val="standardContextual"/>
        </w:rPr>
        <w:t>A1.2 asfaltspreidmachine, asfaltwerkmachine</w:t>
      </w:r>
    </w:p>
    <w:p w:rsidRPr="00A2109C" w:rsidR="00475E4A" w:rsidP="00475E4A" w:rsidRDefault="00475E4A" w14:paraId="19A47B7D" w14:textId="77777777">
      <w:pPr>
        <w:widowControl w:val="0"/>
        <w:autoSpaceDE w:val="0"/>
        <w:adjustRightInd w:val="0"/>
        <w:spacing w:line="240" w:lineRule="auto"/>
        <w:textAlignment w:val="auto"/>
        <w:rPr>
          <w:rFonts w:cs="Arial" w:eastAsiaTheme="minorEastAsia"/>
          <w:color w:val="auto"/>
          <w14:ligatures w14:val="standardContextual"/>
        </w:rPr>
      </w:pPr>
      <w:r w:rsidRPr="00A2109C">
        <w:rPr>
          <w:rFonts w:cs="Arial" w:eastAsiaTheme="minorEastAsia"/>
          <w:color w:val="auto"/>
          <w14:ligatures w14:val="standardContextual"/>
        </w:rPr>
        <w:t>A1.3 asfaltvoorlader</w:t>
      </w:r>
    </w:p>
    <w:p w:rsidRPr="00A2109C" w:rsidR="00475E4A" w:rsidP="00475E4A" w:rsidRDefault="00475E4A" w14:paraId="56222A8C" w14:textId="77777777">
      <w:pPr>
        <w:widowControl w:val="0"/>
        <w:autoSpaceDE w:val="0"/>
        <w:adjustRightInd w:val="0"/>
        <w:spacing w:line="240" w:lineRule="auto"/>
        <w:textAlignment w:val="auto"/>
        <w:rPr>
          <w:rFonts w:cs="Arial" w:eastAsiaTheme="minorEastAsia"/>
          <w:color w:val="auto"/>
          <w14:ligatures w14:val="standardContextual"/>
        </w:rPr>
      </w:pPr>
      <w:r w:rsidRPr="00A2109C">
        <w:rPr>
          <w:rFonts w:cs="Arial" w:eastAsiaTheme="minorEastAsia"/>
          <w:color w:val="auto"/>
          <w14:ligatures w14:val="standardContextual"/>
        </w:rPr>
        <w:t>A1.4 ballastafwerkmachine</w:t>
      </w:r>
    </w:p>
    <w:p w:rsidRPr="00A2109C" w:rsidR="00475E4A" w:rsidP="00475E4A" w:rsidRDefault="00475E4A" w14:paraId="77C72947" w14:textId="77777777">
      <w:pPr>
        <w:widowControl w:val="0"/>
        <w:autoSpaceDE w:val="0"/>
        <w:adjustRightInd w:val="0"/>
        <w:spacing w:line="240" w:lineRule="auto"/>
        <w:textAlignment w:val="auto"/>
        <w:rPr>
          <w:rFonts w:cs="Arial" w:eastAsiaTheme="minorEastAsia"/>
          <w:color w:val="auto"/>
          <w:lang w:val="en-US"/>
          <w14:ligatures w14:val="standardContextual"/>
        </w:rPr>
      </w:pPr>
      <w:r w:rsidRPr="00A2109C">
        <w:rPr>
          <w:rFonts w:cs="Arial" w:eastAsiaTheme="minorEastAsia"/>
          <w:color w:val="auto"/>
          <w:lang w:val="en-US"/>
          <w14:ligatures w14:val="standardContextual"/>
        </w:rPr>
        <w:t>A1.5 bestratingsmachine (zelfrijdend)</w:t>
      </w:r>
    </w:p>
    <w:p w:rsidRPr="00A2109C" w:rsidR="00475E4A" w:rsidP="00475E4A" w:rsidRDefault="00475E4A" w14:paraId="2E8782A1" w14:textId="77777777">
      <w:pPr>
        <w:widowControl w:val="0"/>
        <w:autoSpaceDE w:val="0"/>
        <w:adjustRightInd w:val="0"/>
        <w:spacing w:line="240" w:lineRule="auto"/>
        <w:textAlignment w:val="auto"/>
        <w:rPr>
          <w:rFonts w:cs="Arial" w:eastAsiaTheme="minorEastAsia"/>
          <w:color w:val="auto"/>
          <w:lang w:val="en-US"/>
          <w14:ligatures w14:val="standardContextual"/>
        </w:rPr>
      </w:pPr>
      <w:r w:rsidRPr="00A2109C">
        <w:rPr>
          <w:rFonts w:cs="Arial" w:eastAsiaTheme="minorEastAsia"/>
          <w:color w:val="auto"/>
          <w:lang w:val="en-US"/>
          <w14:ligatures w14:val="standardContextual"/>
        </w:rPr>
        <w:t>A1.6 beton- of mortelmachine, paver, mobiele 3D-printer</w:t>
      </w:r>
    </w:p>
    <w:p w:rsidRPr="00A2109C" w:rsidR="00475E4A" w:rsidP="00475E4A" w:rsidRDefault="00475E4A" w14:paraId="1FAB1B74" w14:textId="77777777">
      <w:pPr>
        <w:widowControl w:val="0"/>
        <w:autoSpaceDE w:val="0"/>
        <w:adjustRightInd w:val="0"/>
        <w:spacing w:line="240" w:lineRule="auto"/>
        <w:textAlignment w:val="auto"/>
        <w:rPr>
          <w:rFonts w:cs="Arial" w:eastAsiaTheme="minorEastAsia"/>
          <w:color w:val="auto"/>
          <w:lang w:val="en-US"/>
          <w14:ligatures w14:val="standardContextual"/>
        </w:rPr>
      </w:pPr>
      <w:r w:rsidRPr="00A2109C">
        <w:rPr>
          <w:rFonts w:cs="Arial" w:eastAsiaTheme="minorEastAsia"/>
          <w:color w:val="auto"/>
          <w:lang w:val="en-US"/>
          <w14:ligatures w14:val="standardContextual"/>
        </w:rPr>
        <w:t>A1.7 beton- of bentonietpomp (standalone)</w:t>
      </w:r>
    </w:p>
    <w:p w:rsidRPr="00A2109C" w:rsidR="00475E4A" w:rsidP="00475E4A" w:rsidRDefault="00475E4A" w14:paraId="0248F721" w14:textId="77777777">
      <w:pPr>
        <w:widowControl w:val="0"/>
        <w:autoSpaceDE w:val="0"/>
        <w:adjustRightInd w:val="0"/>
        <w:spacing w:line="240" w:lineRule="auto"/>
        <w:textAlignment w:val="auto"/>
        <w:rPr>
          <w:rFonts w:cs="Arial" w:eastAsiaTheme="minorEastAsia"/>
          <w:color w:val="auto"/>
          <w:lang w:val="en-US"/>
          <w14:ligatures w14:val="standardContextual"/>
        </w:rPr>
      </w:pPr>
      <w:r w:rsidRPr="00A2109C">
        <w:rPr>
          <w:rFonts w:cs="Arial" w:eastAsiaTheme="minorEastAsia"/>
          <w:color w:val="auto"/>
          <w:lang w:val="en-US"/>
          <w14:ligatures w14:val="standardContextual"/>
        </w:rPr>
        <w:t>A1.8 bodemstabiliseerder</w:t>
      </w:r>
    </w:p>
    <w:p w:rsidRPr="00A2109C" w:rsidR="00475E4A" w:rsidP="00475E4A" w:rsidRDefault="00475E4A" w14:paraId="443D5320" w14:textId="77777777">
      <w:pPr>
        <w:widowControl w:val="0"/>
        <w:autoSpaceDE w:val="0"/>
        <w:adjustRightInd w:val="0"/>
        <w:spacing w:line="240" w:lineRule="auto"/>
        <w:textAlignment w:val="auto"/>
        <w:rPr>
          <w:rFonts w:cs="Arial" w:eastAsiaTheme="minorEastAsia"/>
          <w:color w:val="auto"/>
          <w:lang w:val="en-US"/>
          <w14:ligatures w14:val="standardContextual"/>
        </w:rPr>
      </w:pPr>
      <w:r w:rsidRPr="00A2109C">
        <w:rPr>
          <w:rFonts w:cs="Arial" w:eastAsiaTheme="minorEastAsia"/>
          <w:color w:val="auto"/>
          <w:lang w:val="en-US"/>
          <w14:ligatures w14:val="standardContextual"/>
        </w:rPr>
        <w:t>A1.9 bulldozer</w:t>
      </w:r>
    </w:p>
    <w:p w:rsidRPr="00A2109C" w:rsidR="00475E4A" w:rsidP="00475E4A" w:rsidRDefault="00475E4A" w14:paraId="7FAADDEC" w14:textId="77777777">
      <w:pPr>
        <w:widowControl w:val="0"/>
        <w:autoSpaceDE w:val="0"/>
        <w:adjustRightInd w:val="0"/>
        <w:spacing w:line="240" w:lineRule="auto"/>
        <w:textAlignment w:val="auto"/>
        <w:rPr>
          <w:rFonts w:cs="Arial" w:eastAsiaTheme="minorEastAsia"/>
          <w:color w:val="auto"/>
          <w:lang w:val="en-US"/>
          <w14:ligatures w14:val="standardContextual"/>
        </w:rPr>
      </w:pPr>
      <w:r w:rsidRPr="00A2109C">
        <w:rPr>
          <w:rFonts w:cs="Arial" w:eastAsiaTheme="minorEastAsia"/>
          <w:color w:val="auto"/>
          <w:lang w:val="en-US"/>
          <w14:ligatures w14:val="standardContextual"/>
        </w:rPr>
        <w:t>A1.10 emulsiespuitwagen</w:t>
      </w:r>
    </w:p>
    <w:p w:rsidRPr="00A2109C" w:rsidR="00475E4A" w:rsidP="00475E4A" w:rsidRDefault="00475E4A" w14:paraId="59109BC5" w14:textId="77777777">
      <w:pPr>
        <w:widowControl w:val="0"/>
        <w:autoSpaceDE w:val="0"/>
        <w:adjustRightInd w:val="0"/>
        <w:spacing w:line="240" w:lineRule="auto"/>
        <w:textAlignment w:val="auto"/>
        <w:rPr>
          <w:rFonts w:cs="Arial" w:eastAsiaTheme="minorEastAsia"/>
          <w:color w:val="auto"/>
          <w:lang w:val="en-US"/>
          <w14:ligatures w14:val="standardContextual"/>
        </w:rPr>
      </w:pPr>
      <w:r w:rsidRPr="00A2109C">
        <w:rPr>
          <w:rFonts w:cs="Arial" w:eastAsiaTheme="minorEastAsia"/>
          <w:color w:val="auto"/>
          <w:lang w:val="en-US"/>
          <w14:ligatures w14:val="standardContextual"/>
        </w:rPr>
        <w:t>A1.11 freesmachine voor asfalt of beton</w:t>
      </w:r>
    </w:p>
    <w:p w:rsidRPr="00A2109C" w:rsidR="00475E4A" w:rsidP="00475E4A" w:rsidRDefault="00475E4A" w14:paraId="6D34CA47" w14:textId="77777777">
      <w:pPr>
        <w:widowControl w:val="0"/>
        <w:autoSpaceDE w:val="0"/>
        <w:adjustRightInd w:val="0"/>
        <w:spacing w:line="240" w:lineRule="auto"/>
        <w:textAlignment w:val="auto"/>
        <w:rPr>
          <w:rFonts w:cs="Arial" w:eastAsiaTheme="minorEastAsia"/>
          <w:color w:val="auto"/>
          <w:lang w:val="en-US"/>
          <w14:ligatures w14:val="standardContextual"/>
        </w:rPr>
      </w:pPr>
      <w:r w:rsidRPr="00A2109C">
        <w:rPr>
          <w:rFonts w:cs="Arial" w:eastAsiaTheme="minorEastAsia"/>
          <w:color w:val="auto"/>
          <w:lang w:val="en-US"/>
          <w14:ligatures w14:val="standardContextual"/>
        </w:rPr>
        <w:t>A1.12 sondeermachine, sondeertruck, sondeerrups</w:t>
      </w:r>
    </w:p>
    <w:p w:rsidRPr="00A2109C" w:rsidR="00475E4A" w:rsidP="00475E4A" w:rsidRDefault="00475E4A" w14:paraId="1D40ED59" w14:textId="77777777">
      <w:pPr>
        <w:widowControl w:val="0"/>
        <w:autoSpaceDE w:val="0"/>
        <w:adjustRightInd w:val="0"/>
        <w:spacing w:line="240" w:lineRule="auto"/>
        <w:textAlignment w:val="auto"/>
        <w:rPr>
          <w:rFonts w:cs="Arial" w:eastAsiaTheme="minorEastAsia"/>
          <w:color w:val="auto"/>
          <w:lang w:val="en-US"/>
          <w14:ligatures w14:val="standardContextual"/>
        </w:rPr>
      </w:pPr>
      <w:r w:rsidRPr="00A2109C">
        <w:rPr>
          <w:rFonts w:cs="Arial" w:eastAsiaTheme="minorEastAsia"/>
          <w:color w:val="auto"/>
          <w:lang w:val="en-US"/>
          <w14:ligatures w14:val="standardContextual"/>
        </w:rPr>
        <w:t>A1.15 gietasfaltketel</w:t>
      </w:r>
    </w:p>
    <w:p w:rsidRPr="00A2109C" w:rsidR="00475E4A" w:rsidP="00475E4A" w:rsidRDefault="00475E4A" w14:paraId="5EDE2401" w14:textId="77777777">
      <w:pPr>
        <w:widowControl w:val="0"/>
        <w:autoSpaceDE w:val="0"/>
        <w:adjustRightInd w:val="0"/>
        <w:spacing w:line="240" w:lineRule="auto"/>
        <w:textAlignment w:val="auto"/>
        <w:rPr>
          <w:rFonts w:cs="Arial" w:eastAsiaTheme="minorEastAsia"/>
          <w:color w:val="auto"/>
          <w:lang w:val="en-US"/>
          <w14:ligatures w14:val="standardContextual"/>
        </w:rPr>
      </w:pPr>
      <w:r w:rsidRPr="00A2109C">
        <w:rPr>
          <w:rFonts w:cs="Arial" w:eastAsiaTheme="minorEastAsia"/>
          <w:color w:val="auto"/>
          <w:lang w:val="en-US"/>
          <w14:ligatures w14:val="standardContextual"/>
        </w:rPr>
        <w:t>A1.16 graaflaadcombinatie</w:t>
      </w:r>
    </w:p>
    <w:p w:rsidRPr="00A2109C" w:rsidR="00475E4A" w:rsidP="00475E4A" w:rsidRDefault="00475E4A" w14:paraId="0B182ECE" w14:textId="77777777">
      <w:pPr>
        <w:widowControl w:val="0"/>
        <w:autoSpaceDE w:val="0"/>
        <w:adjustRightInd w:val="0"/>
        <w:spacing w:line="240" w:lineRule="auto"/>
        <w:textAlignment w:val="auto"/>
        <w:rPr>
          <w:rFonts w:cs="Arial" w:eastAsiaTheme="minorEastAsia"/>
          <w:color w:val="auto"/>
          <w14:ligatures w14:val="standardContextual"/>
        </w:rPr>
      </w:pPr>
      <w:r w:rsidRPr="00A2109C">
        <w:rPr>
          <w:rFonts w:cs="Arial" w:eastAsiaTheme="minorEastAsia"/>
          <w:color w:val="auto"/>
          <w14:ligatures w14:val="standardContextual"/>
        </w:rPr>
        <w:t>A1.17 grader, wegschaaf</w:t>
      </w:r>
    </w:p>
    <w:p w:rsidRPr="00A2109C" w:rsidR="00475E4A" w:rsidP="00475E4A" w:rsidRDefault="00475E4A" w14:paraId="39C852A7" w14:textId="77777777">
      <w:pPr>
        <w:widowControl w:val="0"/>
        <w:autoSpaceDE w:val="0"/>
        <w:adjustRightInd w:val="0"/>
        <w:spacing w:line="240" w:lineRule="auto"/>
        <w:textAlignment w:val="auto"/>
        <w:rPr>
          <w:rFonts w:cs="Arial" w:eastAsiaTheme="minorEastAsia"/>
          <w:color w:val="auto"/>
          <w14:ligatures w14:val="standardContextual"/>
        </w:rPr>
      </w:pPr>
      <w:r w:rsidRPr="00A2109C">
        <w:rPr>
          <w:rFonts w:cs="Arial" w:eastAsiaTheme="minorEastAsia"/>
          <w:color w:val="auto"/>
          <w14:ligatures w14:val="standardContextual"/>
        </w:rPr>
        <w:t>A1.18 funderingsmachine (gemotoriseerd materieel): heimachine, (damwand) drukmachine, trilstelling, vibrostelling</w:t>
      </w:r>
    </w:p>
    <w:p w:rsidRPr="00A2109C" w:rsidR="00475E4A" w:rsidP="00475E4A" w:rsidRDefault="00475E4A" w14:paraId="5517A4E3" w14:textId="77777777">
      <w:pPr>
        <w:widowControl w:val="0"/>
        <w:autoSpaceDE w:val="0"/>
        <w:adjustRightInd w:val="0"/>
        <w:spacing w:line="240" w:lineRule="auto"/>
        <w:textAlignment w:val="auto"/>
        <w:rPr>
          <w:rFonts w:cs="Arial" w:eastAsiaTheme="minorEastAsia"/>
          <w:color w:val="auto"/>
          <w14:ligatures w14:val="standardContextual"/>
        </w:rPr>
      </w:pPr>
      <w:r w:rsidRPr="00A2109C">
        <w:rPr>
          <w:rFonts w:cs="Arial" w:eastAsiaTheme="minorEastAsia"/>
          <w:color w:val="auto"/>
          <w14:ligatures w14:val="standardContextual"/>
        </w:rPr>
        <w:t>A1.19 hoogwerker (zelfrijdend of getrokken) vanaf 56 kW</w:t>
      </w:r>
    </w:p>
    <w:p w:rsidRPr="00A2109C" w:rsidR="00475E4A" w:rsidP="00475E4A" w:rsidRDefault="00475E4A" w14:paraId="071D789A" w14:textId="77777777">
      <w:pPr>
        <w:widowControl w:val="0"/>
        <w:autoSpaceDE w:val="0"/>
        <w:adjustRightInd w:val="0"/>
        <w:spacing w:line="240" w:lineRule="auto"/>
        <w:textAlignment w:val="auto"/>
        <w:rPr>
          <w:rFonts w:cs="Arial" w:eastAsiaTheme="minorEastAsia"/>
          <w:color w:val="auto"/>
          <w14:ligatures w14:val="standardContextual"/>
        </w:rPr>
      </w:pPr>
      <w:r w:rsidRPr="00A2109C">
        <w:rPr>
          <w:rFonts w:cs="Arial" w:eastAsiaTheme="minorEastAsia"/>
          <w:color w:val="auto"/>
          <w14:ligatures w14:val="standardContextual"/>
        </w:rPr>
        <w:t>A1.20 kabeltreklier</w:t>
      </w:r>
    </w:p>
    <w:p w:rsidRPr="00A2109C" w:rsidR="00475E4A" w:rsidP="00475E4A" w:rsidRDefault="00475E4A" w14:paraId="10A86126" w14:textId="4EC27919">
      <w:pPr>
        <w:widowControl w:val="0"/>
        <w:autoSpaceDE w:val="0"/>
        <w:adjustRightInd w:val="0"/>
        <w:spacing w:line="240" w:lineRule="auto"/>
        <w:textAlignment w:val="auto"/>
        <w:rPr>
          <w:rFonts w:cs="Arial" w:eastAsiaTheme="minorEastAsia"/>
          <w:color w:val="auto"/>
          <w14:ligatures w14:val="standardContextual"/>
        </w:rPr>
      </w:pPr>
      <w:r w:rsidRPr="00A2109C">
        <w:rPr>
          <w:rFonts w:cs="Arial" w:eastAsiaTheme="minorEastAsia"/>
          <w:color w:val="auto"/>
          <w14:ligatures w14:val="standardContextual"/>
        </w:rPr>
        <w:t>A1.21 mobiele boorinstallatie, grondboormachine, mobiele (anker) boorinstallatie,</w:t>
      </w:r>
      <w:r>
        <w:rPr>
          <w:rFonts w:cs="Arial" w:eastAsiaTheme="minorEastAsia"/>
          <w:color w:val="auto"/>
          <w14:ligatures w14:val="standardContextual"/>
        </w:rPr>
        <w:t xml:space="preserve"> </w:t>
      </w:r>
      <w:r w:rsidRPr="00A2109C">
        <w:rPr>
          <w:rFonts w:cs="Arial" w:eastAsiaTheme="minorEastAsia"/>
          <w:color w:val="auto"/>
          <w14:ligatures w14:val="standardContextual"/>
        </w:rPr>
        <w:t>grondboormachine, gestuurde boringmachine, boorrups</w:t>
      </w:r>
    </w:p>
    <w:p w:rsidRPr="00A2109C" w:rsidR="00475E4A" w:rsidP="00475E4A" w:rsidRDefault="00475E4A" w14:paraId="26A3A0EF" w14:textId="77777777">
      <w:pPr>
        <w:widowControl w:val="0"/>
        <w:autoSpaceDE w:val="0"/>
        <w:adjustRightInd w:val="0"/>
        <w:spacing w:line="240" w:lineRule="auto"/>
        <w:textAlignment w:val="auto"/>
        <w:rPr>
          <w:rFonts w:cs="Arial" w:eastAsiaTheme="minorEastAsia"/>
          <w:color w:val="auto"/>
          <w14:ligatures w14:val="standardContextual"/>
        </w:rPr>
      </w:pPr>
      <w:r w:rsidRPr="00A2109C">
        <w:rPr>
          <w:rFonts w:cs="Arial" w:eastAsiaTheme="minorEastAsia"/>
          <w:color w:val="auto"/>
          <w14:ligatures w14:val="standardContextual"/>
        </w:rPr>
        <w:t>A1.22 mobiele compressor</w:t>
      </w:r>
    </w:p>
    <w:p w:rsidRPr="00A2109C" w:rsidR="00475E4A" w:rsidP="00475E4A" w:rsidRDefault="00475E4A" w14:paraId="6E61B827" w14:textId="77777777">
      <w:pPr>
        <w:widowControl w:val="0"/>
        <w:autoSpaceDE w:val="0"/>
        <w:adjustRightInd w:val="0"/>
        <w:spacing w:line="240" w:lineRule="auto"/>
        <w:textAlignment w:val="auto"/>
        <w:rPr>
          <w:rFonts w:cs="Arial" w:eastAsiaTheme="minorEastAsia"/>
          <w:color w:val="auto"/>
          <w14:ligatures w14:val="standardContextual"/>
        </w:rPr>
      </w:pPr>
      <w:r w:rsidRPr="00A2109C">
        <w:rPr>
          <w:rFonts w:cs="Arial" w:eastAsiaTheme="minorEastAsia"/>
          <w:color w:val="auto"/>
          <w14:ligatures w14:val="standardContextual"/>
        </w:rPr>
        <w:t>A1.23 mobiele graafmachine (niet zijnde 'overslagmachine')</w:t>
      </w:r>
    </w:p>
    <w:p w:rsidRPr="00A2109C" w:rsidR="00475E4A" w:rsidP="00475E4A" w:rsidRDefault="00475E4A" w14:paraId="35E2AD60" w14:textId="77777777">
      <w:pPr>
        <w:widowControl w:val="0"/>
        <w:autoSpaceDE w:val="0"/>
        <w:adjustRightInd w:val="0"/>
        <w:spacing w:line="240" w:lineRule="auto"/>
        <w:textAlignment w:val="auto"/>
        <w:rPr>
          <w:rFonts w:cs="Arial" w:eastAsiaTheme="minorEastAsia"/>
          <w:color w:val="auto"/>
          <w14:ligatures w14:val="standardContextual"/>
        </w:rPr>
      </w:pPr>
      <w:r w:rsidRPr="00A2109C">
        <w:rPr>
          <w:rFonts w:cs="Arial" w:eastAsiaTheme="minorEastAsia"/>
          <w:color w:val="auto"/>
          <w14:ligatures w14:val="standardContextual"/>
        </w:rPr>
        <w:t>A1.24 mobiele kraan (zoals telescoopkraan, torenkraan, rupshijskraan, ruwterreinkraan, draadkraan, minihijskraan, dragline-kraan)</w:t>
      </w:r>
    </w:p>
    <w:p w:rsidRPr="00A2109C" w:rsidR="00475E4A" w:rsidP="00475E4A" w:rsidRDefault="00475E4A" w14:paraId="5422036E" w14:textId="77777777">
      <w:pPr>
        <w:widowControl w:val="0"/>
        <w:autoSpaceDE w:val="0"/>
        <w:adjustRightInd w:val="0"/>
        <w:spacing w:line="240" w:lineRule="auto"/>
        <w:textAlignment w:val="auto"/>
        <w:rPr>
          <w:rFonts w:cs="Arial" w:eastAsiaTheme="minorEastAsia"/>
          <w:color w:val="auto"/>
          <w14:ligatures w14:val="standardContextual"/>
        </w:rPr>
      </w:pPr>
      <w:r w:rsidRPr="00A2109C">
        <w:rPr>
          <w:rFonts w:cs="Arial" w:eastAsiaTheme="minorEastAsia"/>
          <w:color w:val="auto"/>
          <w14:ligatures w14:val="standardContextual"/>
        </w:rPr>
        <w:t>A1.25 mobiele lopende band (transportband), zelf aangedreven mobiel modulair transportsysteem</w:t>
      </w:r>
    </w:p>
    <w:p w:rsidRPr="00A2109C" w:rsidR="00475E4A" w:rsidP="00475E4A" w:rsidRDefault="00475E4A" w14:paraId="37EA7EB5" w14:textId="77777777">
      <w:pPr>
        <w:widowControl w:val="0"/>
        <w:autoSpaceDE w:val="0"/>
        <w:adjustRightInd w:val="0"/>
        <w:spacing w:line="240" w:lineRule="auto"/>
        <w:textAlignment w:val="auto"/>
        <w:rPr>
          <w:rFonts w:cs="Arial" w:eastAsiaTheme="minorEastAsia"/>
          <w:color w:val="auto"/>
          <w14:ligatures w14:val="standardContextual"/>
        </w:rPr>
      </w:pPr>
      <w:r w:rsidRPr="00A2109C">
        <w:rPr>
          <w:rFonts w:cs="Arial" w:eastAsiaTheme="minorEastAsia"/>
          <w:color w:val="auto"/>
          <w14:ligatures w14:val="standardContextual"/>
        </w:rPr>
        <w:t>A1.26 mobiele puinbreekinstallatie</w:t>
      </w:r>
    </w:p>
    <w:p w:rsidRPr="00A2109C" w:rsidR="00475E4A" w:rsidP="00475E4A" w:rsidRDefault="00475E4A" w14:paraId="3A0BC73C" w14:textId="77777777">
      <w:pPr>
        <w:widowControl w:val="0"/>
        <w:autoSpaceDE w:val="0"/>
        <w:adjustRightInd w:val="0"/>
        <w:spacing w:line="240" w:lineRule="auto"/>
        <w:textAlignment w:val="auto"/>
        <w:rPr>
          <w:rFonts w:cs="Arial" w:eastAsiaTheme="minorEastAsia"/>
          <w:color w:val="auto"/>
          <w14:ligatures w14:val="standardContextual"/>
        </w:rPr>
      </w:pPr>
      <w:r w:rsidRPr="00A2109C">
        <w:rPr>
          <w:rFonts w:cs="Arial" w:eastAsiaTheme="minorEastAsia"/>
          <w:color w:val="auto"/>
          <w14:ligatures w14:val="standardContextual"/>
        </w:rPr>
        <w:t>A1.27 mobiele zeefinstallatie, grondzeef</w:t>
      </w:r>
    </w:p>
    <w:p w:rsidRPr="00A2109C" w:rsidR="00475E4A" w:rsidP="00475E4A" w:rsidRDefault="00475E4A" w14:paraId="70E72EB2" w14:textId="77777777">
      <w:pPr>
        <w:widowControl w:val="0"/>
        <w:autoSpaceDE w:val="0"/>
        <w:adjustRightInd w:val="0"/>
        <w:spacing w:line="240" w:lineRule="auto"/>
        <w:textAlignment w:val="auto"/>
        <w:rPr>
          <w:rFonts w:cs="Arial" w:eastAsiaTheme="minorEastAsia"/>
          <w:color w:val="auto"/>
          <w14:ligatures w14:val="standardContextual"/>
        </w:rPr>
      </w:pPr>
      <w:r w:rsidRPr="00A2109C">
        <w:rPr>
          <w:rFonts w:cs="Arial" w:eastAsiaTheme="minorEastAsia"/>
          <w:color w:val="auto"/>
          <w14:ligatures w14:val="standardContextual"/>
        </w:rPr>
        <w:t>A1.28 mobiele overslagmachine, rupsoverslagmachine, overslagkraan (niet zijnde statisch en bekabeld elektrisch)</w:t>
      </w:r>
    </w:p>
    <w:p w:rsidRPr="00A2109C" w:rsidR="00475E4A" w:rsidP="00475E4A" w:rsidRDefault="00475E4A" w14:paraId="6FF76410" w14:textId="77777777">
      <w:pPr>
        <w:widowControl w:val="0"/>
        <w:autoSpaceDE w:val="0"/>
        <w:adjustRightInd w:val="0"/>
        <w:spacing w:line="240" w:lineRule="auto"/>
        <w:textAlignment w:val="auto"/>
        <w:rPr>
          <w:rFonts w:cs="Arial" w:eastAsiaTheme="minorEastAsia"/>
          <w:color w:val="auto"/>
          <w:lang w:val="en-US"/>
          <w14:ligatures w14:val="standardContextual"/>
        </w:rPr>
      </w:pPr>
      <w:r w:rsidRPr="00A2109C">
        <w:rPr>
          <w:rFonts w:cs="Arial" w:eastAsiaTheme="minorEastAsia"/>
          <w:color w:val="auto"/>
          <w:lang w:val="en-US"/>
          <w14:ligatures w14:val="standardContextual"/>
        </w:rPr>
        <w:t>A1.29 rupsdumper</w:t>
      </w:r>
    </w:p>
    <w:p w:rsidRPr="00A2109C" w:rsidR="00475E4A" w:rsidP="00475E4A" w:rsidRDefault="00475E4A" w14:paraId="00C6AE55" w14:textId="77777777">
      <w:pPr>
        <w:widowControl w:val="0"/>
        <w:autoSpaceDE w:val="0"/>
        <w:adjustRightInd w:val="0"/>
        <w:spacing w:line="240" w:lineRule="auto"/>
        <w:textAlignment w:val="auto"/>
        <w:rPr>
          <w:rFonts w:cs="Arial" w:eastAsiaTheme="minorEastAsia"/>
          <w:color w:val="auto"/>
          <w:lang w:val="en-US"/>
          <w14:ligatures w14:val="standardContextual"/>
        </w:rPr>
      </w:pPr>
      <w:r w:rsidRPr="00A2109C">
        <w:rPr>
          <w:rFonts w:cs="Arial" w:eastAsiaTheme="minorEastAsia"/>
          <w:color w:val="auto"/>
          <w:lang w:val="en-US"/>
          <w14:ligatures w14:val="standardContextual"/>
        </w:rPr>
        <w:t>A1.30 rupsgraafmachine</w:t>
      </w:r>
    </w:p>
    <w:p w:rsidRPr="00A2109C" w:rsidR="00475E4A" w:rsidP="00475E4A" w:rsidRDefault="00475E4A" w14:paraId="611A915F" w14:textId="77777777">
      <w:pPr>
        <w:widowControl w:val="0"/>
        <w:autoSpaceDE w:val="0"/>
        <w:adjustRightInd w:val="0"/>
        <w:spacing w:line="240" w:lineRule="auto"/>
        <w:textAlignment w:val="auto"/>
        <w:rPr>
          <w:rFonts w:cs="Arial" w:eastAsiaTheme="minorEastAsia"/>
          <w:color w:val="auto"/>
          <w:lang w:val="en-US"/>
          <w14:ligatures w14:val="standardContextual"/>
        </w:rPr>
      </w:pPr>
      <w:r w:rsidRPr="00A2109C">
        <w:rPr>
          <w:rFonts w:cs="Arial" w:eastAsiaTheme="minorEastAsia"/>
          <w:color w:val="auto"/>
          <w:lang w:val="en-US"/>
          <w14:ligatures w14:val="standardContextual"/>
        </w:rPr>
        <w:t>A1.31 ruw terrein heftruck 4x4 aangedreven</w:t>
      </w:r>
    </w:p>
    <w:p w:rsidRPr="00A2109C" w:rsidR="00475E4A" w:rsidP="00475E4A" w:rsidRDefault="00475E4A" w14:paraId="5347E6F1" w14:textId="77777777">
      <w:pPr>
        <w:widowControl w:val="0"/>
        <w:autoSpaceDE w:val="0"/>
        <w:adjustRightInd w:val="0"/>
        <w:spacing w:line="240" w:lineRule="auto"/>
        <w:textAlignment w:val="auto"/>
        <w:rPr>
          <w:rFonts w:cs="Arial" w:eastAsiaTheme="minorEastAsia"/>
          <w:color w:val="auto"/>
          <w:lang w:val="en-US"/>
          <w14:ligatures w14:val="standardContextual"/>
        </w:rPr>
      </w:pPr>
      <w:r w:rsidRPr="00A2109C">
        <w:rPr>
          <w:rFonts w:cs="Arial" w:eastAsiaTheme="minorEastAsia"/>
          <w:color w:val="auto"/>
          <w:lang w:val="en-US"/>
          <w14:ligatures w14:val="standardContextual"/>
        </w:rPr>
        <w:t>A1.32 schranklader</w:t>
      </w:r>
    </w:p>
    <w:p w:rsidRPr="00A2109C" w:rsidR="00475E4A" w:rsidP="00475E4A" w:rsidRDefault="00475E4A" w14:paraId="08739368" w14:textId="77777777">
      <w:pPr>
        <w:widowControl w:val="0"/>
        <w:autoSpaceDE w:val="0"/>
        <w:adjustRightInd w:val="0"/>
        <w:spacing w:line="240" w:lineRule="auto"/>
        <w:textAlignment w:val="auto"/>
        <w:rPr>
          <w:rFonts w:cs="Arial" w:eastAsiaTheme="minorEastAsia"/>
          <w:color w:val="auto"/>
          <w:lang w:val="en-US"/>
          <w14:ligatures w14:val="standardContextual"/>
        </w:rPr>
      </w:pPr>
      <w:r w:rsidRPr="00A2109C">
        <w:rPr>
          <w:rFonts w:cs="Arial" w:eastAsiaTheme="minorEastAsia"/>
          <w:color w:val="auto"/>
          <w:lang w:val="en-US"/>
          <w14:ligatures w14:val="standardContextual"/>
        </w:rPr>
        <w:t>A1.33 shovel, laadschop, wiellader op banden of rups</w:t>
      </w:r>
    </w:p>
    <w:p w:rsidRPr="00A2109C" w:rsidR="00475E4A" w:rsidP="00475E4A" w:rsidRDefault="00475E4A" w14:paraId="54EAA6D1" w14:textId="77777777">
      <w:pPr>
        <w:widowControl w:val="0"/>
        <w:autoSpaceDE w:val="0"/>
        <w:adjustRightInd w:val="0"/>
        <w:spacing w:line="240" w:lineRule="auto"/>
        <w:textAlignment w:val="auto"/>
        <w:rPr>
          <w:rFonts w:cs="Arial" w:eastAsiaTheme="minorEastAsia"/>
          <w:color w:val="auto"/>
          <w:lang w:val="en-US"/>
          <w14:ligatures w14:val="standardContextual"/>
        </w:rPr>
      </w:pPr>
      <w:r w:rsidRPr="00A2109C">
        <w:rPr>
          <w:rFonts w:cs="Arial" w:eastAsiaTheme="minorEastAsia"/>
          <w:color w:val="auto"/>
          <w:lang w:val="en-US"/>
          <w14:ligatures w14:val="standardContextual"/>
        </w:rPr>
        <w:t>A1.34 shuttle buggy</w:t>
      </w:r>
    </w:p>
    <w:p w:rsidRPr="00A2109C" w:rsidR="00475E4A" w:rsidP="00475E4A" w:rsidRDefault="00475E4A" w14:paraId="490E75F1" w14:textId="77777777">
      <w:pPr>
        <w:widowControl w:val="0"/>
        <w:autoSpaceDE w:val="0"/>
        <w:adjustRightInd w:val="0"/>
        <w:spacing w:line="240" w:lineRule="auto"/>
        <w:textAlignment w:val="auto"/>
        <w:rPr>
          <w:rFonts w:cs="Arial" w:eastAsiaTheme="minorEastAsia"/>
          <w:color w:val="auto"/>
          <w:lang w:val="en-US"/>
          <w14:ligatures w14:val="standardContextual"/>
        </w:rPr>
      </w:pPr>
      <w:r w:rsidRPr="00A2109C">
        <w:rPr>
          <w:rFonts w:cs="Arial" w:eastAsiaTheme="minorEastAsia"/>
          <w:color w:val="auto"/>
          <w:lang w:val="en-US"/>
          <w14:ligatures w14:val="standardContextual"/>
        </w:rPr>
        <w:t>A1.35 sleepgraver, dragline</w:t>
      </w:r>
    </w:p>
    <w:p w:rsidRPr="00A2109C" w:rsidR="00475E4A" w:rsidP="00475E4A" w:rsidRDefault="00475E4A" w14:paraId="4ACF8C78" w14:textId="77777777">
      <w:pPr>
        <w:widowControl w:val="0"/>
        <w:autoSpaceDE w:val="0"/>
        <w:adjustRightInd w:val="0"/>
        <w:spacing w:line="240" w:lineRule="auto"/>
        <w:textAlignment w:val="auto"/>
        <w:rPr>
          <w:rFonts w:cs="Arial" w:eastAsiaTheme="minorEastAsia"/>
          <w:color w:val="auto"/>
          <w:lang w:val="en-US"/>
          <w14:ligatures w14:val="standardContextual"/>
        </w:rPr>
      </w:pPr>
      <w:r w:rsidRPr="00A2109C">
        <w:rPr>
          <w:rFonts w:cs="Arial" w:eastAsiaTheme="minorEastAsia"/>
          <w:color w:val="auto"/>
          <w:lang w:val="en-US"/>
          <w14:ligatures w14:val="standardContextual"/>
        </w:rPr>
        <w:t>A1.36 sloopkraan</w:t>
      </w:r>
    </w:p>
    <w:p w:rsidRPr="00A2109C" w:rsidR="00475E4A" w:rsidP="00475E4A" w:rsidRDefault="00475E4A" w14:paraId="174CC358" w14:textId="77777777">
      <w:pPr>
        <w:widowControl w:val="0"/>
        <w:autoSpaceDE w:val="0"/>
        <w:adjustRightInd w:val="0"/>
        <w:spacing w:line="240" w:lineRule="auto"/>
        <w:textAlignment w:val="auto"/>
        <w:rPr>
          <w:rFonts w:cs="Arial" w:eastAsiaTheme="minorEastAsia"/>
          <w:color w:val="auto"/>
          <w:lang w:val="en-US"/>
          <w14:ligatures w14:val="standardContextual"/>
        </w:rPr>
      </w:pPr>
      <w:r w:rsidRPr="00A2109C">
        <w:rPr>
          <w:rFonts w:cs="Arial" w:eastAsiaTheme="minorEastAsia"/>
          <w:color w:val="auto"/>
          <w:lang w:val="en-US"/>
          <w14:ligatures w14:val="standardContextual"/>
        </w:rPr>
        <w:t>A1.37 teer- of asfaltsproeier</w:t>
      </w:r>
    </w:p>
    <w:p w:rsidRPr="00A2109C" w:rsidR="00475E4A" w:rsidP="00475E4A" w:rsidRDefault="00475E4A" w14:paraId="76EEC216" w14:textId="77777777">
      <w:pPr>
        <w:widowControl w:val="0"/>
        <w:autoSpaceDE w:val="0"/>
        <w:adjustRightInd w:val="0"/>
        <w:spacing w:line="240" w:lineRule="auto"/>
        <w:textAlignment w:val="auto"/>
        <w:rPr>
          <w:rFonts w:cs="Arial" w:eastAsiaTheme="minorEastAsia"/>
          <w:color w:val="auto"/>
          <w14:ligatures w14:val="standardContextual"/>
        </w:rPr>
      </w:pPr>
      <w:r w:rsidRPr="00A2109C">
        <w:rPr>
          <w:rFonts w:cs="Arial" w:eastAsiaTheme="minorEastAsia"/>
          <w:color w:val="auto"/>
          <w14:ligatures w14:val="standardContextual"/>
        </w:rPr>
        <w:t>A1.38 tractor met motorvermogen vanaf 19 kW</w:t>
      </w:r>
    </w:p>
    <w:p w:rsidRPr="00A2109C" w:rsidR="00475E4A" w:rsidP="00475E4A" w:rsidRDefault="00475E4A" w14:paraId="4098ABE5" w14:textId="77777777">
      <w:pPr>
        <w:widowControl w:val="0"/>
        <w:autoSpaceDE w:val="0"/>
        <w:adjustRightInd w:val="0"/>
        <w:spacing w:line="240" w:lineRule="auto"/>
        <w:textAlignment w:val="auto"/>
        <w:rPr>
          <w:rFonts w:cs="Arial" w:eastAsiaTheme="minorEastAsia"/>
          <w:color w:val="auto"/>
          <w14:ligatures w14:val="standardContextual"/>
        </w:rPr>
      </w:pPr>
      <w:r w:rsidRPr="00A2109C">
        <w:rPr>
          <w:rFonts w:cs="Arial" w:eastAsiaTheme="minorEastAsia"/>
          <w:color w:val="auto"/>
          <w14:ligatures w14:val="standardContextual"/>
        </w:rPr>
        <w:t>A1.39 veegmachine met motorvermogen vanaf 56 kW</w:t>
      </w:r>
    </w:p>
    <w:p w:rsidRPr="00A2109C" w:rsidR="00475E4A" w:rsidP="00475E4A" w:rsidRDefault="00475E4A" w14:paraId="3C074B3B" w14:textId="77777777">
      <w:pPr>
        <w:widowControl w:val="0"/>
        <w:autoSpaceDE w:val="0"/>
        <w:adjustRightInd w:val="0"/>
        <w:spacing w:line="240" w:lineRule="auto"/>
        <w:textAlignment w:val="auto"/>
        <w:rPr>
          <w:rFonts w:cs="Arial" w:eastAsiaTheme="minorEastAsia"/>
          <w:color w:val="auto"/>
          <w14:ligatures w14:val="standardContextual"/>
        </w:rPr>
      </w:pPr>
      <w:r w:rsidRPr="00A2109C">
        <w:rPr>
          <w:rFonts w:cs="Arial" w:eastAsiaTheme="minorEastAsia"/>
          <w:color w:val="auto"/>
          <w14:ligatures w14:val="standardContextual"/>
        </w:rPr>
        <w:t>A1.40 verreiker (star of roterend)</w:t>
      </w:r>
    </w:p>
    <w:p w:rsidRPr="00A2109C" w:rsidR="00475E4A" w:rsidP="00475E4A" w:rsidRDefault="00475E4A" w14:paraId="7EDDE481" w14:textId="77777777">
      <w:pPr>
        <w:widowControl w:val="0"/>
        <w:autoSpaceDE w:val="0"/>
        <w:adjustRightInd w:val="0"/>
        <w:spacing w:line="240" w:lineRule="auto"/>
        <w:textAlignment w:val="auto"/>
        <w:rPr>
          <w:rFonts w:cs="Arial" w:eastAsiaTheme="minorEastAsia"/>
          <w:color w:val="auto"/>
          <w14:ligatures w14:val="standardContextual"/>
        </w:rPr>
      </w:pPr>
      <w:r w:rsidRPr="00A2109C">
        <w:rPr>
          <w:rFonts w:cs="Arial" w:eastAsiaTheme="minorEastAsia"/>
          <w:color w:val="auto"/>
          <w14:ligatures w14:val="standardContextual"/>
        </w:rPr>
        <w:t>A1.41 vlindermachine (uitsluitend ride-on)</w:t>
      </w:r>
    </w:p>
    <w:p w:rsidRPr="00A2109C" w:rsidR="00475E4A" w:rsidP="00475E4A" w:rsidRDefault="00475E4A" w14:paraId="21943368" w14:textId="77777777">
      <w:pPr>
        <w:widowControl w:val="0"/>
        <w:autoSpaceDE w:val="0"/>
        <w:adjustRightInd w:val="0"/>
        <w:spacing w:line="240" w:lineRule="auto"/>
        <w:textAlignment w:val="auto"/>
        <w:rPr>
          <w:rFonts w:cs="Arial" w:eastAsiaTheme="minorEastAsia"/>
          <w:color w:val="auto"/>
          <w14:ligatures w14:val="standardContextual"/>
        </w:rPr>
      </w:pPr>
      <w:r w:rsidRPr="00A2109C">
        <w:rPr>
          <w:rFonts w:cs="Arial" w:eastAsiaTheme="minorEastAsia"/>
          <w:color w:val="auto"/>
          <w14:ligatures w14:val="standardContextual"/>
        </w:rPr>
        <w:t>A1.42 wals (klein, knik-, rol-, banden-, grond-)</w:t>
      </w:r>
    </w:p>
    <w:p w:rsidRPr="00A2109C" w:rsidR="00475E4A" w:rsidP="00475E4A" w:rsidRDefault="00475E4A" w14:paraId="4D84F113" w14:textId="77777777">
      <w:pPr>
        <w:widowControl w:val="0"/>
        <w:autoSpaceDE w:val="0"/>
        <w:adjustRightInd w:val="0"/>
        <w:spacing w:line="240" w:lineRule="auto"/>
        <w:textAlignment w:val="auto"/>
        <w:rPr>
          <w:rFonts w:cs="Arial" w:eastAsiaTheme="minorEastAsia"/>
          <w:color w:val="auto"/>
          <w14:ligatures w14:val="standardContextual"/>
        </w:rPr>
      </w:pPr>
      <w:r w:rsidRPr="00A2109C">
        <w:rPr>
          <w:rFonts w:cs="Arial" w:eastAsiaTheme="minorEastAsia"/>
          <w:color w:val="auto"/>
          <w14:ligatures w14:val="standardContextual"/>
        </w:rPr>
        <w:t>A1.43 waterwagen bij asfalt- en freeswerkzaamheden</w:t>
      </w:r>
    </w:p>
    <w:p w:rsidRPr="00A2109C" w:rsidR="00475E4A" w:rsidP="00475E4A" w:rsidRDefault="00475E4A" w14:paraId="00214D02" w14:textId="77777777">
      <w:pPr>
        <w:widowControl w:val="0"/>
        <w:autoSpaceDE w:val="0"/>
        <w:adjustRightInd w:val="0"/>
        <w:spacing w:line="240" w:lineRule="auto"/>
        <w:textAlignment w:val="auto"/>
        <w:rPr>
          <w:rFonts w:cs="Arial" w:eastAsiaTheme="minorEastAsia"/>
          <w:color w:val="auto"/>
          <w14:ligatures w14:val="standardContextual"/>
        </w:rPr>
      </w:pPr>
      <w:r w:rsidRPr="00A2109C">
        <w:rPr>
          <w:rFonts w:cs="Arial" w:eastAsiaTheme="minorEastAsia"/>
          <w:color w:val="auto"/>
          <w14:ligatures w14:val="standardContextual"/>
        </w:rPr>
        <w:t>A1.44 (weg)markeringsmachine</w:t>
      </w:r>
    </w:p>
    <w:p w:rsidRPr="00A2109C" w:rsidR="00475E4A" w:rsidP="00475E4A" w:rsidRDefault="00475E4A" w14:paraId="1893F6CF" w14:textId="77777777">
      <w:pPr>
        <w:widowControl w:val="0"/>
        <w:autoSpaceDE w:val="0"/>
        <w:adjustRightInd w:val="0"/>
        <w:spacing w:line="240" w:lineRule="auto"/>
        <w:textAlignment w:val="auto"/>
        <w:rPr>
          <w:rFonts w:cs="Arial" w:eastAsiaTheme="minorEastAsia"/>
          <w:color w:val="auto"/>
          <w14:ligatures w14:val="standardContextual"/>
        </w:rPr>
      </w:pPr>
      <w:r w:rsidRPr="00A2109C">
        <w:rPr>
          <w:rFonts w:cs="Arial" w:eastAsiaTheme="minorEastAsia"/>
          <w:color w:val="auto"/>
          <w14:ligatures w14:val="standardContextual"/>
        </w:rPr>
        <w:t>A1.45 wieldumper</w:t>
      </w:r>
    </w:p>
    <w:p w:rsidRPr="00A2109C" w:rsidR="00475E4A" w:rsidP="00475E4A" w:rsidRDefault="00475E4A" w14:paraId="7F7015B3" w14:textId="77777777">
      <w:pPr>
        <w:widowControl w:val="0"/>
        <w:autoSpaceDE w:val="0"/>
        <w:adjustRightInd w:val="0"/>
        <w:spacing w:after="240" w:line="240" w:lineRule="auto"/>
        <w:textAlignment w:val="auto"/>
        <w:rPr>
          <w:rFonts w:cs="Arial" w:eastAsiaTheme="minorEastAsia"/>
          <w:color w:val="auto"/>
          <w14:ligatures w14:val="standardContextual"/>
        </w:rPr>
      </w:pPr>
      <w:r w:rsidRPr="00A2109C">
        <w:rPr>
          <w:rFonts w:cs="Arial" w:eastAsiaTheme="minorEastAsia"/>
          <w:color w:val="auto"/>
          <w14:ligatures w14:val="standardContextual"/>
        </w:rPr>
        <w:t>A1.46 boomverplantingsmachine</w:t>
      </w:r>
    </w:p>
    <w:p w:rsidRPr="00A2109C" w:rsidR="00475E4A" w:rsidP="00475E4A" w:rsidRDefault="00475E4A" w14:paraId="09FD6C92" w14:textId="77777777">
      <w:pPr>
        <w:widowControl w:val="0"/>
        <w:autoSpaceDE w:val="0"/>
        <w:adjustRightInd w:val="0"/>
        <w:spacing w:after="240" w:line="240" w:lineRule="auto"/>
        <w:textAlignment w:val="auto"/>
        <w:rPr>
          <w:rFonts w:cs="Arial" w:eastAsiaTheme="minorEastAsia"/>
          <w:b/>
          <w:bCs/>
          <w:color w:val="auto"/>
          <w14:ligatures w14:val="standardContextual"/>
        </w:rPr>
      </w:pPr>
      <w:r w:rsidRPr="00A2109C">
        <w:rPr>
          <w:rFonts w:cs="Arial" w:eastAsiaTheme="minorEastAsia"/>
          <w:b/>
          <w:bCs/>
          <w:color w:val="auto"/>
          <w14:ligatures w14:val="standardContextual"/>
        </w:rPr>
        <w:t>Vervoerbare industriële uitrustingen</w:t>
      </w:r>
    </w:p>
    <w:p w:rsidRPr="00A2109C" w:rsidR="00475E4A" w:rsidP="00475E4A" w:rsidRDefault="00475E4A" w14:paraId="5A3AE259" w14:textId="5DFE718E">
      <w:pPr>
        <w:widowControl w:val="0"/>
        <w:autoSpaceDE w:val="0"/>
        <w:adjustRightInd w:val="0"/>
        <w:spacing w:line="240" w:lineRule="auto"/>
        <w:textAlignment w:val="auto"/>
        <w:rPr>
          <w:rFonts w:cs="Arial" w:eastAsiaTheme="minorEastAsia"/>
          <w:color w:val="auto"/>
          <w14:ligatures w14:val="standardContextual"/>
        </w:rPr>
      </w:pPr>
      <w:r w:rsidRPr="00A2109C">
        <w:rPr>
          <w:rFonts w:cs="Arial" w:eastAsiaTheme="minorEastAsia"/>
          <w:color w:val="auto"/>
          <w14:ligatures w14:val="standardContextual"/>
        </w:rPr>
        <w:t xml:space="preserve">A2.2 aggregaat op wind- of zonne-energie voor off-grid stroomvoorziening </w:t>
      </w:r>
    </w:p>
    <w:p w:rsidRPr="00A2109C" w:rsidR="00475E4A" w:rsidP="005F28F4" w:rsidRDefault="00475E4A" w14:paraId="45E62A7E" w14:textId="0C8D71C5">
      <w:pPr>
        <w:widowControl w:val="0"/>
        <w:autoSpaceDE w:val="0"/>
        <w:adjustRightInd w:val="0"/>
        <w:spacing w:line="240" w:lineRule="auto"/>
        <w:textAlignment w:val="auto"/>
        <w:rPr>
          <w:rFonts w:cs="Arial" w:eastAsiaTheme="minorEastAsia"/>
          <w:color w:val="auto"/>
          <w14:ligatures w14:val="standardContextual"/>
        </w:rPr>
      </w:pPr>
      <w:r w:rsidRPr="00A2109C">
        <w:rPr>
          <w:rFonts w:cs="Arial" w:eastAsiaTheme="minorEastAsia"/>
          <w:color w:val="auto"/>
          <w14:ligatures w14:val="standardContextual"/>
        </w:rPr>
        <w:t xml:space="preserve">A2.3 aggregaat </w:t>
      </w:r>
      <w:r w:rsidR="005F28F4">
        <w:rPr>
          <w:rFonts w:cs="Arial" w:eastAsiaTheme="minorEastAsia"/>
          <w:color w:val="auto"/>
          <w14:ligatures w14:val="standardContextual"/>
        </w:rPr>
        <w:t>op</w:t>
      </w:r>
      <w:r w:rsidRPr="00A2109C" w:rsidR="005F28F4">
        <w:rPr>
          <w:rFonts w:cs="Arial" w:eastAsiaTheme="minorEastAsia"/>
          <w:color w:val="auto"/>
          <w14:ligatures w14:val="standardContextual"/>
        </w:rPr>
        <w:t xml:space="preserve"> waterstof of</w:t>
      </w:r>
      <w:r w:rsidR="00B96BE6">
        <w:rPr>
          <w:rFonts w:cs="Arial" w:eastAsiaTheme="minorEastAsia"/>
          <w:color w:val="auto"/>
          <w14:ligatures w14:val="standardContextual"/>
        </w:rPr>
        <w:t xml:space="preserve"> </w:t>
      </w:r>
      <w:r w:rsidRPr="00A2109C" w:rsidR="005F28F4">
        <w:rPr>
          <w:rFonts w:cs="Arial" w:eastAsiaTheme="minorEastAsia"/>
          <w:color w:val="auto"/>
          <w14:ligatures w14:val="standardContextual"/>
        </w:rPr>
        <w:t>waterstofdragers</w:t>
      </w:r>
      <w:r w:rsidR="00B96BE6">
        <w:rPr>
          <w:rFonts w:cs="Arial" w:eastAsiaTheme="minorEastAsia"/>
          <w:color w:val="auto"/>
          <w14:ligatures w14:val="standardContextual"/>
        </w:rPr>
        <w:t xml:space="preserve"> </w:t>
      </w:r>
      <w:r w:rsidRPr="00A2109C">
        <w:rPr>
          <w:rFonts w:cs="Arial" w:eastAsiaTheme="minorEastAsia"/>
          <w:color w:val="auto"/>
          <w14:ligatures w14:val="standardContextual"/>
        </w:rPr>
        <w:t xml:space="preserve">voor off-grid stroomvoorziening </w:t>
      </w:r>
    </w:p>
    <w:p w:rsidRPr="00DA3E13" w:rsidR="00475E4A" w:rsidP="00475E4A" w:rsidRDefault="00475E4A" w14:paraId="29F8FE70" w14:textId="77777777">
      <w:pPr>
        <w:widowControl w:val="0"/>
        <w:autoSpaceDE w:val="0"/>
        <w:adjustRightInd w:val="0"/>
        <w:spacing w:line="240" w:lineRule="auto"/>
        <w:textAlignment w:val="auto"/>
        <w:rPr>
          <w:rFonts w:cs="Arial" w:eastAsiaTheme="minorEastAsia"/>
          <w:color w:val="auto"/>
          <w:lang w:val="en-US"/>
          <w14:ligatures w14:val="standardContextual"/>
        </w:rPr>
      </w:pPr>
      <w:r w:rsidRPr="00DA3E13">
        <w:rPr>
          <w:rFonts w:cs="Arial" w:eastAsiaTheme="minorEastAsia"/>
          <w:color w:val="auto"/>
          <w:lang w:val="en-US"/>
          <w14:ligatures w14:val="standardContextual"/>
        </w:rPr>
        <w:t>A2.4 hydraulisch aggregaat</w:t>
      </w:r>
    </w:p>
    <w:p w:rsidRPr="00B96BE6" w:rsidR="00475E4A" w:rsidP="00475E4A" w:rsidRDefault="00475E4A" w14:paraId="5045E049" w14:textId="77777777">
      <w:pPr>
        <w:widowControl w:val="0"/>
        <w:autoSpaceDE w:val="0"/>
        <w:adjustRightInd w:val="0"/>
        <w:spacing w:line="240" w:lineRule="auto"/>
        <w:textAlignment w:val="auto"/>
        <w:rPr>
          <w:rFonts w:cs="Arial" w:eastAsiaTheme="minorEastAsia"/>
          <w:color w:val="auto"/>
          <w:lang w:val="en-US"/>
          <w14:ligatures w14:val="standardContextual"/>
        </w:rPr>
      </w:pPr>
      <w:r w:rsidRPr="00B96BE6">
        <w:rPr>
          <w:rFonts w:cs="Arial" w:eastAsiaTheme="minorEastAsia"/>
          <w:color w:val="auto"/>
          <w:lang w:val="en-US"/>
          <w14:ligatures w14:val="standardContextual"/>
        </w:rPr>
        <w:t>A2.5 lasaggregaat</w:t>
      </w:r>
    </w:p>
    <w:p w:rsidRPr="00B96BE6" w:rsidR="00475E4A" w:rsidP="00475E4A" w:rsidRDefault="00475E4A" w14:paraId="23BA22F1" w14:textId="77777777">
      <w:pPr>
        <w:widowControl w:val="0"/>
        <w:autoSpaceDE w:val="0"/>
        <w:adjustRightInd w:val="0"/>
        <w:spacing w:line="240" w:lineRule="auto"/>
        <w:textAlignment w:val="auto"/>
        <w:rPr>
          <w:rFonts w:cs="Arial" w:eastAsiaTheme="minorEastAsia"/>
          <w:color w:val="auto"/>
          <w:lang w:val="en-US"/>
          <w14:ligatures w14:val="standardContextual"/>
        </w:rPr>
      </w:pPr>
      <w:r w:rsidRPr="00B96BE6">
        <w:rPr>
          <w:rFonts w:cs="Arial" w:eastAsiaTheme="minorEastAsia"/>
          <w:color w:val="auto"/>
          <w:lang w:val="en-US"/>
          <w14:ligatures w14:val="standardContextual"/>
        </w:rPr>
        <w:t>A2.6 lichtmastaggregaat of lichtmast (zelf aangedreven)</w:t>
      </w:r>
    </w:p>
    <w:p w:rsidRPr="00A2109C" w:rsidR="00475E4A" w:rsidP="00475E4A" w:rsidRDefault="00475E4A" w14:paraId="36DB49E6" w14:textId="77777777">
      <w:pPr>
        <w:widowControl w:val="0"/>
        <w:autoSpaceDE w:val="0"/>
        <w:adjustRightInd w:val="0"/>
        <w:spacing w:line="240" w:lineRule="auto"/>
        <w:textAlignment w:val="auto"/>
        <w:rPr>
          <w:rFonts w:cs="Arial" w:eastAsiaTheme="minorEastAsia"/>
          <w:color w:val="auto"/>
          <w14:ligatures w14:val="standardContextual"/>
        </w:rPr>
      </w:pPr>
      <w:r w:rsidRPr="00A2109C">
        <w:rPr>
          <w:rFonts w:cs="Arial" w:eastAsiaTheme="minorEastAsia"/>
          <w:color w:val="auto"/>
          <w14:ligatures w14:val="standardContextual"/>
        </w:rPr>
        <w:t>A2.7 batterijpakket voor off-grid stroomvoorziening vanaf 50 kWh</w:t>
      </w:r>
      <w:r>
        <w:rPr>
          <w:rFonts w:cs="Arial" w:eastAsiaTheme="minorEastAsia"/>
          <w:color w:val="auto"/>
          <w14:ligatures w14:val="standardContextual"/>
        </w:rPr>
        <w:t xml:space="preserve"> </w:t>
      </w:r>
      <w:r w:rsidRPr="00485F75">
        <w:rPr>
          <w:rFonts w:cs="Arial" w:eastAsiaTheme="minorEastAsia"/>
          <w:color w:val="auto"/>
          <w14:ligatures w14:val="standardContextual"/>
        </w:rPr>
        <w:t>op een bouwlocatie of behorende bij een bouwwerktuig</w:t>
      </w:r>
    </w:p>
    <w:p w:rsidRPr="00A2109C" w:rsidR="00475E4A" w:rsidP="00475E4A" w:rsidRDefault="00475E4A" w14:paraId="15AEC7EF" w14:textId="77777777">
      <w:pPr>
        <w:widowControl w:val="0"/>
        <w:autoSpaceDE w:val="0"/>
        <w:adjustRightInd w:val="0"/>
        <w:spacing w:line="240" w:lineRule="auto"/>
        <w:textAlignment w:val="auto"/>
        <w:rPr>
          <w:rFonts w:cs="Arial" w:eastAsiaTheme="minorEastAsia"/>
          <w:color w:val="auto"/>
          <w14:ligatures w14:val="standardContextual"/>
        </w:rPr>
      </w:pPr>
      <w:r w:rsidRPr="00A2109C">
        <w:rPr>
          <w:rFonts w:cs="Arial" w:eastAsiaTheme="minorEastAsia"/>
          <w:color w:val="auto"/>
          <w14:ligatures w14:val="standardContextual"/>
        </w:rPr>
        <w:t>A2.8 trilplaat, trilblok, stamper</w:t>
      </w:r>
    </w:p>
    <w:p w:rsidRPr="00A2109C" w:rsidR="00475E4A" w:rsidP="00475E4A" w:rsidRDefault="00475E4A" w14:paraId="6D38EB52" w14:textId="77777777">
      <w:pPr>
        <w:widowControl w:val="0"/>
        <w:autoSpaceDE w:val="0"/>
        <w:adjustRightInd w:val="0"/>
        <w:spacing w:line="240" w:lineRule="auto"/>
        <w:textAlignment w:val="auto"/>
        <w:rPr>
          <w:rFonts w:cs="Arial" w:eastAsiaTheme="minorEastAsia"/>
          <w:color w:val="auto"/>
          <w14:ligatures w14:val="standardContextual"/>
        </w:rPr>
      </w:pPr>
      <w:r w:rsidRPr="00A2109C">
        <w:rPr>
          <w:rFonts w:cs="Arial" w:eastAsiaTheme="minorEastAsia"/>
          <w:color w:val="auto"/>
          <w14:ligatures w14:val="standardContextual"/>
        </w:rPr>
        <w:t>A2.9 mobiele (vuil)-waterpomp</w:t>
      </w:r>
    </w:p>
    <w:p w:rsidRPr="00A2109C" w:rsidR="00475E4A" w:rsidP="00475E4A" w:rsidRDefault="00475E4A" w14:paraId="3BA89E47" w14:textId="77777777">
      <w:pPr>
        <w:widowControl w:val="0"/>
        <w:autoSpaceDE w:val="0"/>
        <w:adjustRightInd w:val="0"/>
        <w:spacing w:line="240" w:lineRule="auto"/>
        <w:textAlignment w:val="auto"/>
        <w:rPr>
          <w:rFonts w:cs="Arial" w:eastAsiaTheme="minorEastAsia"/>
          <w:color w:val="auto"/>
          <w14:ligatures w14:val="standardContextual"/>
        </w:rPr>
      </w:pPr>
      <w:r w:rsidRPr="00A2109C">
        <w:rPr>
          <w:rFonts w:cs="Arial" w:eastAsiaTheme="minorEastAsia"/>
          <w:color w:val="auto"/>
          <w14:ligatures w14:val="standardContextual"/>
        </w:rPr>
        <w:t>A2.10 pompen voor baggeren (zoals DOP-pomp, jetpomp, booster-baggerstation)</w:t>
      </w:r>
    </w:p>
    <w:p w:rsidRPr="00A2109C" w:rsidR="00475E4A" w:rsidP="00475E4A" w:rsidRDefault="00475E4A" w14:paraId="4ECCDC70" w14:textId="77777777">
      <w:pPr>
        <w:widowControl w:val="0"/>
        <w:autoSpaceDE w:val="0"/>
        <w:adjustRightInd w:val="0"/>
        <w:spacing w:line="240" w:lineRule="auto"/>
        <w:textAlignment w:val="auto"/>
        <w:rPr>
          <w:rFonts w:cs="Arial" w:eastAsiaTheme="minorEastAsia"/>
          <w:color w:val="auto"/>
          <w14:ligatures w14:val="standardContextual"/>
        </w:rPr>
      </w:pPr>
      <w:r w:rsidRPr="00485F75">
        <w:rPr>
          <w:rFonts w:cs="Arial" w:eastAsiaTheme="minorEastAsia"/>
          <w:color w:val="auto"/>
          <w14:ligatures w14:val="standardContextual"/>
        </w:rPr>
        <w:t>A2.11 vervallen</w:t>
      </w:r>
    </w:p>
    <w:p w:rsidRPr="00A2109C" w:rsidR="00475E4A" w:rsidP="00475E4A" w:rsidRDefault="00475E4A" w14:paraId="24319BF1" w14:textId="77777777">
      <w:pPr>
        <w:widowControl w:val="0"/>
        <w:autoSpaceDE w:val="0"/>
        <w:adjustRightInd w:val="0"/>
        <w:spacing w:line="240" w:lineRule="auto"/>
        <w:textAlignment w:val="auto"/>
        <w:rPr>
          <w:rFonts w:cs="Arial" w:eastAsiaTheme="minorEastAsia"/>
          <w:color w:val="auto"/>
          <w14:ligatures w14:val="standardContextual"/>
        </w:rPr>
      </w:pPr>
      <w:r w:rsidRPr="00A2109C">
        <w:rPr>
          <w:rFonts w:cs="Arial" w:eastAsiaTheme="minorEastAsia"/>
          <w:color w:val="auto"/>
          <w14:ligatures w14:val="standardContextual"/>
        </w:rPr>
        <w:t>A2.12 vliegwiel als vermogensvoorziening</w:t>
      </w:r>
    </w:p>
    <w:p w:rsidR="00843F5E" w:rsidP="00680984" w:rsidRDefault="00475E4A" w14:paraId="4873BFAC" w14:textId="77777777">
      <w:pPr>
        <w:pStyle w:val="NoSpacing"/>
      </w:pPr>
      <w:r w:rsidRPr="00A2109C">
        <w:t>A2.13 laadstation vanaf 20 kW</w:t>
      </w:r>
      <w:r w:rsidR="00843F5E">
        <w:t xml:space="preserve"> </w:t>
      </w:r>
    </w:p>
    <w:p w:rsidRPr="00A2109C" w:rsidR="00475E4A" w:rsidP="00475E4A" w:rsidRDefault="00843F5E" w14:paraId="1E382B91" w14:textId="6531F43D">
      <w:pPr>
        <w:widowControl w:val="0"/>
        <w:autoSpaceDE w:val="0"/>
        <w:adjustRightInd w:val="0"/>
        <w:spacing w:after="240" w:line="240" w:lineRule="auto"/>
        <w:textAlignment w:val="auto"/>
        <w:rPr>
          <w:rFonts w:cs="Arial" w:eastAsiaTheme="minorEastAsia"/>
          <w:color w:val="auto"/>
          <w14:ligatures w14:val="standardContextual"/>
        </w:rPr>
      </w:pPr>
      <w:r w:rsidRPr="00843F5E">
        <w:rPr>
          <w:rFonts w:cs="Arial" w:eastAsiaTheme="minorEastAsia"/>
          <w:color w:val="auto"/>
          <w14:ligatures w14:val="standardContextual"/>
        </w:rPr>
        <w:t>A2.14 mobiele waterstof tankvoorziening</w:t>
      </w:r>
    </w:p>
    <w:p w:rsidRPr="00A2109C" w:rsidR="00475E4A" w:rsidP="00475E4A" w:rsidRDefault="00475E4A" w14:paraId="6BEC2A4C" w14:textId="77777777">
      <w:pPr>
        <w:widowControl w:val="0"/>
        <w:autoSpaceDE w:val="0"/>
        <w:adjustRightInd w:val="0"/>
        <w:spacing w:after="240" w:line="240" w:lineRule="auto"/>
        <w:textAlignment w:val="auto"/>
        <w:rPr>
          <w:rFonts w:cs="Arial" w:eastAsiaTheme="minorEastAsia"/>
          <w:b/>
          <w:bCs/>
          <w:color w:val="auto"/>
          <w14:ligatures w14:val="standardContextual"/>
        </w:rPr>
      </w:pPr>
      <w:r w:rsidRPr="00A2109C">
        <w:rPr>
          <w:rFonts w:cs="Arial" w:eastAsiaTheme="minorEastAsia"/>
          <w:b/>
          <w:bCs/>
          <w:color w:val="auto"/>
          <w14:ligatures w14:val="standardContextual"/>
        </w:rPr>
        <w:t>B. Hulpfuncties</w:t>
      </w:r>
    </w:p>
    <w:p w:rsidRPr="00A2109C" w:rsidR="00475E4A" w:rsidP="00475E4A" w:rsidRDefault="00475E4A" w14:paraId="5E1F9088" w14:textId="77777777">
      <w:pPr>
        <w:widowControl w:val="0"/>
        <w:autoSpaceDE w:val="0"/>
        <w:adjustRightInd w:val="0"/>
        <w:spacing w:line="240" w:lineRule="auto"/>
        <w:textAlignment w:val="auto"/>
        <w:rPr>
          <w:rFonts w:cs="Arial" w:eastAsiaTheme="minorEastAsia"/>
          <w:color w:val="auto"/>
          <w14:ligatures w14:val="standardContextual"/>
        </w:rPr>
      </w:pPr>
      <w:r w:rsidRPr="00A2109C">
        <w:rPr>
          <w:rFonts w:cs="Arial" w:eastAsiaTheme="minorEastAsia"/>
          <w:color w:val="auto"/>
          <w14:ligatures w14:val="standardContextual"/>
        </w:rPr>
        <w:t>B1. elektrische aandrijfmotor met een brandstofcel of een niet-loodhoudend accupakket voor aandrijving van de opbouw van een voertuig, oplegger of spoorvoertuig (inclusief vrachtautorailvoertuig), zijnde een:</w:t>
      </w:r>
    </w:p>
    <w:p w:rsidRPr="00A2109C" w:rsidR="00475E4A" w:rsidP="00475E4A" w:rsidRDefault="00475E4A" w14:paraId="7BF89309" w14:textId="77777777">
      <w:pPr>
        <w:widowControl w:val="0"/>
        <w:autoSpaceDE w:val="0"/>
        <w:adjustRightInd w:val="0"/>
        <w:spacing w:line="240" w:lineRule="auto"/>
        <w:textAlignment w:val="auto"/>
        <w:rPr>
          <w:rFonts w:cs="Arial" w:eastAsiaTheme="minorEastAsia"/>
          <w:color w:val="auto"/>
          <w14:ligatures w14:val="standardContextual"/>
        </w:rPr>
      </w:pPr>
      <w:r w:rsidRPr="00A2109C">
        <w:rPr>
          <w:rFonts w:cs="Arial" w:eastAsiaTheme="minorEastAsia"/>
          <w:color w:val="auto"/>
          <w14:ligatures w14:val="standardContextual"/>
        </w:rPr>
        <w:t>B1.1 autolaadkraan</w:t>
      </w:r>
    </w:p>
    <w:p w:rsidRPr="00A2109C" w:rsidR="00475E4A" w:rsidP="00475E4A" w:rsidRDefault="00475E4A" w14:paraId="0A2DB41D" w14:textId="77777777">
      <w:pPr>
        <w:widowControl w:val="0"/>
        <w:autoSpaceDE w:val="0"/>
        <w:adjustRightInd w:val="0"/>
        <w:spacing w:line="240" w:lineRule="auto"/>
        <w:textAlignment w:val="auto"/>
        <w:rPr>
          <w:rFonts w:cs="Arial" w:eastAsiaTheme="minorEastAsia"/>
          <w:color w:val="auto"/>
          <w14:ligatures w14:val="standardContextual"/>
        </w:rPr>
      </w:pPr>
      <w:r w:rsidRPr="00A2109C">
        <w:rPr>
          <w:rFonts w:cs="Arial" w:eastAsiaTheme="minorEastAsia"/>
          <w:color w:val="auto"/>
          <w14:ligatures w14:val="standardContextual"/>
        </w:rPr>
        <w:t>B1.2 betonmixer</w:t>
      </w:r>
    </w:p>
    <w:p w:rsidRPr="00A2109C" w:rsidR="00475E4A" w:rsidP="00475E4A" w:rsidRDefault="00475E4A" w14:paraId="1663691F" w14:textId="77777777">
      <w:pPr>
        <w:widowControl w:val="0"/>
        <w:autoSpaceDE w:val="0"/>
        <w:adjustRightInd w:val="0"/>
        <w:spacing w:line="240" w:lineRule="auto"/>
        <w:textAlignment w:val="auto"/>
        <w:rPr>
          <w:rFonts w:cs="Arial" w:eastAsiaTheme="minorEastAsia"/>
          <w:color w:val="auto"/>
          <w14:ligatures w14:val="standardContextual"/>
        </w:rPr>
      </w:pPr>
      <w:r w:rsidRPr="00A2109C">
        <w:rPr>
          <w:rFonts w:cs="Arial" w:eastAsiaTheme="minorEastAsia"/>
          <w:color w:val="auto"/>
          <w14:ligatures w14:val="standardContextual"/>
        </w:rPr>
        <w:t>B1.3 betonpomp</w:t>
      </w:r>
    </w:p>
    <w:p w:rsidRPr="00A2109C" w:rsidR="00475E4A" w:rsidP="00475E4A" w:rsidRDefault="00475E4A" w14:paraId="7EC480A8" w14:textId="77777777">
      <w:pPr>
        <w:widowControl w:val="0"/>
        <w:autoSpaceDE w:val="0"/>
        <w:adjustRightInd w:val="0"/>
        <w:spacing w:line="240" w:lineRule="auto"/>
        <w:textAlignment w:val="auto"/>
        <w:rPr>
          <w:rFonts w:cs="Arial" w:eastAsiaTheme="minorEastAsia"/>
          <w:color w:val="auto"/>
          <w14:ligatures w14:val="standardContextual"/>
        </w:rPr>
      </w:pPr>
      <w:r w:rsidRPr="00A2109C">
        <w:rPr>
          <w:rFonts w:cs="Arial" w:eastAsiaTheme="minorEastAsia"/>
          <w:color w:val="auto"/>
          <w14:ligatures w14:val="standardContextual"/>
        </w:rPr>
        <w:t>B1.4 binnenlader</w:t>
      </w:r>
    </w:p>
    <w:p w:rsidRPr="00A2109C" w:rsidR="00475E4A" w:rsidP="00475E4A" w:rsidRDefault="00475E4A" w14:paraId="5388A84A" w14:textId="77777777">
      <w:pPr>
        <w:widowControl w:val="0"/>
        <w:autoSpaceDE w:val="0"/>
        <w:adjustRightInd w:val="0"/>
        <w:spacing w:line="240" w:lineRule="auto"/>
        <w:textAlignment w:val="auto"/>
        <w:rPr>
          <w:rFonts w:cs="Arial" w:eastAsiaTheme="minorEastAsia"/>
          <w:color w:val="auto"/>
          <w14:ligatures w14:val="standardContextual"/>
        </w:rPr>
      </w:pPr>
      <w:r w:rsidRPr="00A2109C">
        <w:rPr>
          <w:rFonts w:cs="Arial" w:eastAsiaTheme="minorEastAsia"/>
          <w:color w:val="auto"/>
          <w14:ligatures w14:val="standardContextual"/>
        </w:rPr>
        <w:t>B1.5 boor</w:t>
      </w:r>
    </w:p>
    <w:p w:rsidRPr="00A2109C" w:rsidR="00475E4A" w:rsidP="00475E4A" w:rsidRDefault="00475E4A" w14:paraId="3CACF114" w14:textId="77777777">
      <w:pPr>
        <w:widowControl w:val="0"/>
        <w:autoSpaceDE w:val="0"/>
        <w:adjustRightInd w:val="0"/>
        <w:spacing w:line="240" w:lineRule="auto"/>
        <w:textAlignment w:val="auto"/>
        <w:rPr>
          <w:rFonts w:cs="Arial" w:eastAsiaTheme="minorEastAsia"/>
          <w:color w:val="auto"/>
          <w:lang w:val="en-US"/>
          <w14:ligatures w14:val="standardContextual"/>
        </w:rPr>
      </w:pPr>
      <w:r w:rsidRPr="00A2109C">
        <w:rPr>
          <w:rFonts w:cs="Arial" w:eastAsiaTheme="minorEastAsia"/>
          <w:color w:val="auto"/>
          <w:lang w:val="en-US"/>
          <w14:ligatures w14:val="standardContextual"/>
        </w:rPr>
        <w:t>B1.6 front-end cylinder</w:t>
      </w:r>
    </w:p>
    <w:p w:rsidRPr="00A2109C" w:rsidR="00475E4A" w:rsidP="00475E4A" w:rsidRDefault="00475E4A" w14:paraId="51A97012" w14:textId="77777777">
      <w:pPr>
        <w:widowControl w:val="0"/>
        <w:autoSpaceDE w:val="0"/>
        <w:adjustRightInd w:val="0"/>
        <w:spacing w:line="240" w:lineRule="auto"/>
        <w:textAlignment w:val="auto"/>
        <w:rPr>
          <w:rFonts w:cs="Arial" w:eastAsiaTheme="minorEastAsia"/>
          <w:color w:val="auto"/>
          <w:lang w:val="en-US"/>
          <w14:ligatures w14:val="standardContextual"/>
        </w:rPr>
      </w:pPr>
      <w:r w:rsidRPr="00A2109C">
        <w:rPr>
          <w:rFonts w:cs="Arial" w:eastAsiaTheme="minorEastAsia"/>
          <w:color w:val="auto"/>
          <w:lang w:val="en-US"/>
          <w14:ligatures w14:val="standardContextual"/>
        </w:rPr>
        <w:t>B1.7 haakarm</w:t>
      </w:r>
    </w:p>
    <w:p w:rsidRPr="00A2109C" w:rsidR="00475E4A" w:rsidP="00475E4A" w:rsidRDefault="00475E4A" w14:paraId="6C3D3A47" w14:textId="77777777">
      <w:pPr>
        <w:widowControl w:val="0"/>
        <w:autoSpaceDE w:val="0"/>
        <w:adjustRightInd w:val="0"/>
        <w:spacing w:line="240" w:lineRule="auto"/>
        <w:textAlignment w:val="auto"/>
        <w:rPr>
          <w:rFonts w:cs="Arial" w:eastAsiaTheme="minorEastAsia"/>
          <w:color w:val="auto"/>
          <w14:ligatures w14:val="standardContextual"/>
        </w:rPr>
      </w:pPr>
      <w:r w:rsidRPr="00A2109C">
        <w:rPr>
          <w:rFonts w:cs="Arial" w:eastAsiaTheme="minorEastAsia"/>
          <w:color w:val="auto"/>
          <w14:ligatures w14:val="standardContextual"/>
        </w:rPr>
        <w:t>B1.8 kabelsysteem</w:t>
      </w:r>
    </w:p>
    <w:p w:rsidRPr="00A2109C" w:rsidR="00475E4A" w:rsidP="00475E4A" w:rsidRDefault="00475E4A" w14:paraId="03F1AA89" w14:textId="77777777">
      <w:pPr>
        <w:widowControl w:val="0"/>
        <w:autoSpaceDE w:val="0"/>
        <w:adjustRightInd w:val="0"/>
        <w:spacing w:line="240" w:lineRule="auto"/>
        <w:textAlignment w:val="auto"/>
        <w:rPr>
          <w:rFonts w:cs="Arial" w:eastAsiaTheme="minorEastAsia"/>
          <w:color w:val="auto"/>
          <w14:ligatures w14:val="standardContextual"/>
        </w:rPr>
      </w:pPr>
      <w:r w:rsidRPr="00A2109C">
        <w:rPr>
          <w:rFonts w:cs="Arial" w:eastAsiaTheme="minorEastAsia"/>
          <w:color w:val="auto"/>
          <w14:ligatures w14:val="standardContextual"/>
        </w:rPr>
        <w:t>B1.9 kettingsysteem</w:t>
      </w:r>
    </w:p>
    <w:p w:rsidRPr="00A2109C" w:rsidR="00475E4A" w:rsidP="00475E4A" w:rsidRDefault="00475E4A" w14:paraId="6927FD3E" w14:textId="77777777">
      <w:pPr>
        <w:widowControl w:val="0"/>
        <w:autoSpaceDE w:val="0"/>
        <w:adjustRightInd w:val="0"/>
        <w:spacing w:line="240" w:lineRule="auto"/>
        <w:textAlignment w:val="auto"/>
        <w:rPr>
          <w:rFonts w:cs="Arial" w:eastAsiaTheme="minorEastAsia"/>
          <w:color w:val="auto"/>
          <w14:ligatures w14:val="standardContextual"/>
        </w:rPr>
      </w:pPr>
      <w:r w:rsidRPr="00A2109C">
        <w:rPr>
          <w:rFonts w:cs="Arial" w:eastAsiaTheme="minorEastAsia"/>
          <w:color w:val="auto"/>
          <w14:ligatures w14:val="standardContextual"/>
        </w:rPr>
        <w:t>B1.10 onderwaartse cylinder</w:t>
      </w:r>
    </w:p>
    <w:p w:rsidRPr="00A2109C" w:rsidR="00475E4A" w:rsidP="00475E4A" w:rsidRDefault="00475E4A" w14:paraId="3E2B2B8F" w14:textId="77777777">
      <w:pPr>
        <w:widowControl w:val="0"/>
        <w:autoSpaceDE w:val="0"/>
        <w:adjustRightInd w:val="0"/>
        <w:spacing w:line="240" w:lineRule="auto"/>
        <w:textAlignment w:val="auto"/>
        <w:rPr>
          <w:rFonts w:cs="Arial" w:eastAsiaTheme="minorEastAsia"/>
          <w:color w:val="auto"/>
          <w14:ligatures w14:val="standardContextual"/>
        </w:rPr>
      </w:pPr>
      <w:r w:rsidRPr="00A2109C">
        <w:rPr>
          <w:rFonts w:cs="Arial" w:eastAsiaTheme="minorEastAsia"/>
          <w:color w:val="auto"/>
          <w14:ligatures w14:val="standardContextual"/>
        </w:rPr>
        <w:t>B1.11 portaalarmsysteem</w:t>
      </w:r>
    </w:p>
    <w:p w:rsidR="00475E4A" w:rsidP="00475E4A" w:rsidRDefault="00475E4A" w14:paraId="1932E657" w14:textId="77777777">
      <w:pPr>
        <w:widowControl w:val="0"/>
        <w:autoSpaceDE w:val="0"/>
        <w:adjustRightInd w:val="0"/>
        <w:spacing w:line="240" w:lineRule="auto"/>
        <w:textAlignment w:val="auto"/>
        <w:rPr>
          <w:rFonts w:cs="Arial" w:eastAsiaTheme="minorEastAsia"/>
          <w:color w:val="auto"/>
          <w14:ligatures w14:val="standardContextual"/>
        </w:rPr>
      </w:pPr>
      <w:r w:rsidRPr="00A2109C">
        <w:rPr>
          <w:rFonts w:cs="Arial" w:eastAsiaTheme="minorEastAsia"/>
          <w:color w:val="auto"/>
          <w14:ligatures w14:val="standardContextual"/>
        </w:rPr>
        <w:t>B1.12 mobiele kraan (zoals telescoopkraan, torenkraan, rupshijskraan, ruwterreinkraan, draadkraan, minihijskraan)</w:t>
      </w:r>
    </w:p>
    <w:p w:rsidR="00843F5E" w:rsidP="00475E4A" w:rsidRDefault="00843F5E" w14:paraId="497C0D02" w14:textId="7AD85A19">
      <w:pPr>
        <w:widowControl w:val="0"/>
        <w:autoSpaceDE w:val="0"/>
        <w:adjustRightInd w:val="0"/>
        <w:spacing w:line="240" w:lineRule="auto"/>
        <w:textAlignment w:val="auto"/>
        <w:rPr>
          <w:rFonts w:cs="Arial" w:eastAsiaTheme="minorEastAsia"/>
          <w:color w:val="auto"/>
          <w14:ligatures w14:val="standardContextual"/>
        </w:rPr>
      </w:pPr>
      <w:r w:rsidRPr="00843F5E">
        <w:rPr>
          <w:rFonts w:cs="Arial" w:eastAsiaTheme="minorEastAsia"/>
          <w:color w:val="auto"/>
          <w14:ligatures w14:val="standardContextual"/>
        </w:rPr>
        <w:t>B1.13 hoogwerker vanaf 46 kW</w:t>
      </w:r>
    </w:p>
    <w:p w:rsidRPr="00A2109C" w:rsidR="00EC6CE0" w:rsidP="00475E4A" w:rsidRDefault="00EC6CE0" w14:paraId="6893748B" w14:textId="41C20CB4">
      <w:pPr>
        <w:widowControl w:val="0"/>
        <w:autoSpaceDE w:val="0"/>
        <w:adjustRightInd w:val="0"/>
        <w:spacing w:line="240" w:lineRule="auto"/>
        <w:textAlignment w:val="auto"/>
        <w:rPr>
          <w:rFonts w:cs="Arial" w:eastAsiaTheme="minorEastAsia"/>
          <w:color w:val="auto"/>
          <w14:ligatures w14:val="standardContextual"/>
        </w:rPr>
      </w:pPr>
      <w:r w:rsidRPr="00EC6CE0">
        <w:rPr>
          <w:rFonts w:cs="Arial" w:eastAsiaTheme="minorEastAsia"/>
          <w:color w:val="auto"/>
          <w14:ligatures w14:val="standardContextual"/>
        </w:rPr>
        <w:t>B1.14 blaas- en zuigsysteem voor zand, grind en schelpen</w:t>
      </w:r>
    </w:p>
    <w:p w:rsidRPr="00A2109C" w:rsidR="00475E4A" w:rsidP="00475E4A" w:rsidRDefault="00475E4A" w14:paraId="50BB65D4" w14:textId="77777777">
      <w:pPr>
        <w:widowControl w:val="0"/>
        <w:autoSpaceDE w:val="0"/>
        <w:adjustRightInd w:val="0"/>
        <w:spacing w:line="240" w:lineRule="auto"/>
        <w:textAlignment w:val="auto"/>
        <w:rPr>
          <w:rFonts w:cs="Arial" w:eastAsiaTheme="minorEastAsia"/>
          <w:color w:val="auto"/>
          <w14:ligatures w14:val="standardContextual"/>
        </w:rPr>
      </w:pPr>
      <w:r w:rsidRPr="00A2109C">
        <w:rPr>
          <w:rFonts w:cs="Arial" w:eastAsiaTheme="minorEastAsia"/>
          <w:color w:val="auto"/>
          <w14:ligatures w14:val="standardContextual"/>
        </w:rPr>
        <w:t>B3. elektrische aandrijfmotor met een brandstofcel of een niet loodhoudend accupakket voor aandrijving van een hulpfunctie op een vaartuig, niet de voortstuwing, zijnde een:</w:t>
      </w:r>
    </w:p>
    <w:p w:rsidRPr="00A2109C" w:rsidR="00475E4A" w:rsidP="00475E4A" w:rsidRDefault="00475E4A" w14:paraId="403E6822" w14:textId="77777777">
      <w:pPr>
        <w:widowControl w:val="0"/>
        <w:autoSpaceDE w:val="0"/>
        <w:adjustRightInd w:val="0"/>
        <w:spacing w:line="240" w:lineRule="auto"/>
        <w:textAlignment w:val="auto"/>
        <w:rPr>
          <w:rFonts w:cs="Arial" w:eastAsiaTheme="minorEastAsia"/>
          <w:color w:val="auto"/>
          <w14:ligatures w14:val="standardContextual"/>
        </w:rPr>
      </w:pPr>
      <w:r w:rsidRPr="00A2109C">
        <w:rPr>
          <w:rFonts w:cs="Arial" w:eastAsiaTheme="minorEastAsia"/>
          <w:color w:val="auto"/>
          <w14:ligatures w14:val="standardContextual"/>
        </w:rPr>
        <w:t>B3.1 grondpers</w:t>
      </w:r>
    </w:p>
    <w:p w:rsidRPr="00A2109C" w:rsidR="00475E4A" w:rsidP="00475E4A" w:rsidRDefault="00475E4A" w14:paraId="352DAC54" w14:textId="77777777">
      <w:pPr>
        <w:widowControl w:val="0"/>
        <w:autoSpaceDE w:val="0"/>
        <w:adjustRightInd w:val="0"/>
        <w:spacing w:line="240" w:lineRule="auto"/>
        <w:textAlignment w:val="auto"/>
        <w:rPr>
          <w:rFonts w:cs="Arial" w:eastAsiaTheme="minorEastAsia"/>
          <w:color w:val="auto"/>
          <w14:ligatures w14:val="standardContextual"/>
        </w:rPr>
      </w:pPr>
      <w:r w:rsidRPr="00A2109C">
        <w:rPr>
          <w:rFonts w:cs="Arial" w:eastAsiaTheme="minorEastAsia"/>
          <w:color w:val="auto"/>
          <w14:ligatures w14:val="standardContextual"/>
        </w:rPr>
        <w:t>B3.2 hei-installatie op een heischip</w:t>
      </w:r>
    </w:p>
    <w:p w:rsidRPr="00A2109C" w:rsidR="00475E4A" w:rsidP="00475E4A" w:rsidRDefault="00475E4A" w14:paraId="3438F366" w14:textId="77777777">
      <w:pPr>
        <w:widowControl w:val="0"/>
        <w:autoSpaceDE w:val="0"/>
        <w:adjustRightInd w:val="0"/>
        <w:spacing w:after="240" w:line="240" w:lineRule="auto"/>
        <w:textAlignment w:val="auto"/>
        <w:rPr>
          <w:rFonts w:cs="Arial" w:eastAsiaTheme="minorEastAsia"/>
          <w:color w:val="auto"/>
          <w14:ligatures w14:val="standardContextual"/>
        </w:rPr>
      </w:pPr>
      <w:r w:rsidRPr="00A2109C">
        <w:rPr>
          <w:rFonts w:cs="Arial" w:eastAsiaTheme="minorEastAsia"/>
          <w:color w:val="auto"/>
          <w14:ligatures w14:val="standardContextual"/>
        </w:rPr>
        <w:t>B3.3 kraan</w:t>
      </w:r>
    </w:p>
    <w:p w:rsidRPr="00A2109C" w:rsidR="00475E4A" w:rsidP="00475E4A" w:rsidRDefault="00475E4A" w14:paraId="07DE6494" w14:textId="77777777">
      <w:pPr>
        <w:widowControl w:val="0"/>
        <w:autoSpaceDE w:val="0"/>
        <w:adjustRightInd w:val="0"/>
        <w:spacing w:after="240" w:line="240" w:lineRule="auto"/>
        <w:textAlignment w:val="auto"/>
        <w:rPr>
          <w:rFonts w:cs="Arial" w:eastAsiaTheme="minorEastAsia"/>
          <w:b/>
          <w:bCs/>
          <w:color w:val="auto"/>
          <w14:ligatures w14:val="standardContextual"/>
        </w:rPr>
      </w:pPr>
      <w:r w:rsidRPr="00A2109C">
        <w:rPr>
          <w:rFonts w:cs="Arial" w:eastAsiaTheme="minorEastAsia"/>
          <w:b/>
          <w:bCs/>
          <w:color w:val="auto"/>
          <w14:ligatures w14:val="standardContextual"/>
        </w:rPr>
        <w:t>C. Bouwvoertuigen (N2/N3)</w:t>
      </w:r>
    </w:p>
    <w:p w:rsidRPr="00A2109C" w:rsidR="00475E4A" w:rsidP="00475E4A" w:rsidRDefault="00475E4A" w14:paraId="79C5310B" w14:textId="77777777">
      <w:pPr>
        <w:widowControl w:val="0"/>
        <w:autoSpaceDE w:val="0"/>
        <w:adjustRightInd w:val="0"/>
        <w:spacing w:line="240" w:lineRule="auto"/>
        <w:textAlignment w:val="auto"/>
        <w:rPr>
          <w:rFonts w:cs="Arial" w:eastAsiaTheme="minorEastAsia"/>
          <w:color w:val="auto"/>
          <w14:ligatures w14:val="standardContextual"/>
        </w:rPr>
      </w:pPr>
      <w:r w:rsidRPr="00A2109C">
        <w:rPr>
          <w:rFonts w:cs="Arial" w:eastAsiaTheme="minorEastAsia"/>
          <w:color w:val="auto"/>
          <w14:ligatures w14:val="standardContextual"/>
        </w:rPr>
        <w:t>C1. betonmixer (carrosseriecode 15)</w:t>
      </w:r>
    </w:p>
    <w:p w:rsidRPr="00A2109C" w:rsidR="00475E4A" w:rsidP="00475E4A" w:rsidRDefault="00475E4A" w14:paraId="1CF76471" w14:textId="77777777">
      <w:pPr>
        <w:widowControl w:val="0"/>
        <w:autoSpaceDE w:val="0"/>
        <w:adjustRightInd w:val="0"/>
        <w:spacing w:line="240" w:lineRule="auto"/>
        <w:textAlignment w:val="auto"/>
        <w:rPr>
          <w:rFonts w:cs="Arial" w:eastAsiaTheme="minorEastAsia"/>
          <w:color w:val="auto"/>
          <w14:ligatures w14:val="standardContextual"/>
        </w:rPr>
      </w:pPr>
      <w:r w:rsidRPr="00A2109C">
        <w:rPr>
          <w:rFonts w:cs="Arial" w:eastAsiaTheme="minorEastAsia"/>
          <w:color w:val="auto"/>
          <w14:ligatures w14:val="standardContextual"/>
        </w:rPr>
        <w:t>C2. betonpompvoertuig (carrosseriecode 16)</w:t>
      </w:r>
    </w:p>
    <w:p w:rsidRPr="00A2109C" w:rsidR="00475E4A" w:rsidP="00475E4A" w:rsidRDefault="00475E4A" w14:paraId="59D4F6D3" w14:textId="77777777">
      <w:pPr>
        <w:widowControl w:val="0"/>
        <w:autoSpaceDE w:val="0"/>
        <w:adjustRightInd w:val="0"/>
        <w:spacing w:line="240" w:lineRule="auto"/>
        <w:textAlignment w:val="auto"/>
        <w:rPr>
          <w:rFonts w:cs="Arial" w:eastAsiaTheme="minorEastAsia"/>
          <w:color w:val="auto"/>
          <w14:ligatures w14:val="standardContextual"/>
        </w:rPr>
      </w:pPr>
      <w:r w:rsidRPr="00A2109C">
        <w:rPr>
          <w:rFonts w:cs="Arial" w:eastAsiaTheme="minorEastAsia"/>
          <w:color w:val="auto"/>
          <w14:ligatures w14:val="standardContextual"/>
        </w:rPr>
        <w:t>C3. boorwagen (carrosseriecode 28)</w:t>
      </w:r>
    </w:p>
    <w:p w:rsidRPr="00A2109C" w:rsidR="00475E4A" w:rsidP="00475E4A" w:rsidRDefault="00475E4A" w14:paraId="5A0DEA32" w14:textId="77777777">
      <w:pPr>
        <w:widowControl w:val="0"/>
        <w:autoSpaceDE w:val="0"/>
        <w:adjustRightInd w:val="0"/>
        <w:spacing w:line="240" w:lineRule="auto"/>
        <w:textAlignment w:val="auto"/>
        <w:rPr>
          <w:rFonts w:cs="Arial" w:eastAsiaTheme="minorEastAsia"/>
          <w:color w:val="auto"/>
          <w14:ligatures w14:val="standardContextual"/>
        </w:rPr>
      </w:pPr>
      <w:r w:rsidRPr="00A2109C">
        <w:rPr>
          <w:rFonts w:cs="Arial" w:eastAsiaTheme="minorEastAsia"/>
          <w:color w:val="auto"/>
          <w14:ligatures w14:val="standardContextual"/>
        </w:rPr>
        <w:t>C4. hoogwerker (carrosseriecode 27)</w:t>
      </w:r>
    </w:p>
    <w:p w:rsidRPr="00A2109C" w:rsidR="00475E4A" w:rsidP="00475E4A" w:rsidRDefault="00475E4A" w14:paraId="62DE6F6E" w14:textId="77777777">
      <w:pPr>
        <w:widowControl w:val="0"/>
        <w:autoSpaceDE w:val="0"/>
        <w:adjustRightInd w:val="0"/>
        <w:spacing w:line="240" w:lineRule="auto"/>
        <w:textAlignment w:val="auto"/>
        <w:rPr>
          <w:rFonts w:cs="Arial" w:eastAsiaTheme="minorEastAsia"/>
          <w:color w:val="auto"/>
          <w14:ligatures w14:val="standardContextual"/>
        </w:rPr>
      </w:pPr>
      <w:r w:rsidRPr="00A2109C">
        <w:rPr>
          <w:rFonts w:cs="Arial" w:eastAsiaTheme="minorEastAsia"/>
          <w:color w:val="auto"/>
          <w14:ligatures w14:val="standardContextual"/>
        </w:rPr>
        <w:t>C5. kieptruck (carrosseriecode 10)</w:t>
      </w:r>
    </w:p>
    <w:p w:rsidRPr="00A2109C" w:rsidR="00475E4A" w:rsidP="00475E4A" w:rsidRDefault="00475E4A" w14:paraId="0A65C50D" w14:textId="77777777">
      <w:pPr>
        <w:widowControl w:val="0"/>
        <w:autoSpaceDE w:val="0"/>
        <w:adjustRightInd w:val="0"/>
        <w:spacing w:line="240" w:lineRule="auto"/>
        <w:textAlignment w:val="auto"/>
        <w:rPr>
          <w:rFonts w:cs="Arial" w:eastAsiaTheme="minorEastAsia"/>
          <w:color w:val="auto"/>
          <w14:ligatures w14:val="standardContextual"/>
        </w:rPr>
      </w:pPr>
      <w:r w:rsidRPr="00A2109C">
        <w:rPr>
          <w:rFonts w:cs="Arial" w:eastAsiaTheme="minorEastAsia"/>
          <w:color w:val="auto"/>
          <w14:ligatures w14:val="standardContextual"/>
        </w:rPr>
        <w:t>C6. kraanwagen (carrosseriecode 26 of aanduiding SF)</w:t>
      </w:r>
    </w:p>
    <w:p w:rsidRPr="000C12FF" w:rsidR="00475E4A" w:rsidP="00475E4A" w:rsidRDefault="00475E4A" w14:paraId="7D454163" w14:textId="77777777">
      <w:pPr>
        <w:widowControl w:val="0"/>
        <w:autoSpaceDE w:val="0"/>
        <w:adjustRightInd w:val="0"/>
        <w:spacing w:after="240" w:line="240" w:lineRule="auto"/>
        <w:textAlignment w:val="auto"/>
        <w:rPr>
          <w:rFonts w:cs="Arial" w:eastAsiaTheme="minorEastAsia"/>
          <w:color w:val="auto"/>
          <w14:ligatures w14:val="standardContextual"/>
        </w:rPr>
      </w:pPr>
      <w:r w:rsidRPr="00A2109C">
        <w:rPr>
          <w:rFonts w:cs="Arial" w:eastAsiaTheme="minorEastAsia"/>
          <w:color w:val="auto"/>
          <w14:ligatures w14:val="standardContextual"/>
        </w:rPr>
        <w:t>C7. voertuig met haakarm (carrosseriecode 9)</w:t>
      </w:r>
      <w:r w:rsidRPr="000C12FF">
        <w:rPr>
          <w:rFonts w:cs="Arial" w:eastAsiaTheme="minorEastAsia"/>
          <w:color w:val="auto"/>
          <w14:ligatures w14:val="standardContextual"/>
        </w:rPr>
        <w:br/>
        <w:t xml:space="preserve">C8. overige vrachtwagens ingezet voor bouwwerkzaamheden </w:t>
      </w:r>
    </w:p>
    <w:p w:rsidRPr="000C12FF" w:rsidR="00475E4A" w:rsidP="00475E4A" w:rsidRDefault="00475E4A" w14:paraId="64EA5F9C" w14:textId="77777777">
      <w:pPr>
        <w:spacing w:line="240" w:lineRule="auto"/>
        <w:rPr>
          <w:b/>
          <w:bCs/>
        </w:rPr>
      </w:pPr>
      <w:r w:rsidRPr="000C12FF">
        <w:rPr>
          <w:b/>
          <w:bCs/>
        </w:rPr>
        <w:br w:type="page"/>
      </w:r>
    </w:p>
    <w:p w:rsidR="00475E4A" w:rsidP="00475E4A" w:rsidRDefault="00475E4A" w14:paraId="0E62CC33" w14:textId="569B41BC">
      <w:pPr>
        <w:rPr>
          <w:b/>
          <w:bCs/>
        </w:rPr>
      </w:pPr>
      <w:r>
        <w:rPr>
          <w:b/>
          <w:bCs/>
        </w:rPr>
        <w:t xml:space="preserve">BIJLAGE 2 BEHORENDE BIJ ARTIKEL I, ONDERDEEL G, VAN DE REGELING TOT WIJZIGING VAN DE REGELING STIMULERING SCHOON EN EMISSIELOOS BOUWEN VOOR MEDEOVERHEDEN IN VERBAND MET TOETREDING VAN NIEUWE DEELNEMERS </w:t>
      </w:r>
      <w:r w:rsidR="008F508B">
        <w:rPr>
          <w:b/>
          <w:bCs/>
        </w:rPr>
        <w:t>TOT</w:t>
      </w:r>
      <w:r>
        <w:rPr>
          <w:b/>
          <w:bCs/>
        </w:rPr>
        <w:t xml:space="preserve"> HET CONVENANT, AANPASSING BEREKENINGSWIJZE VAN DE RIJKSBIJDRAGE EN ENKELE ANDERE KLEINE WIJZIGINGEN</w:t>
      </w:r>
    </w:p>
    <w:p w:rsidRPr="000C12FF" w:rsidR="00475E4A" w:rsidP="00475E4A" w:rsidRDefault="00475E4A" w14:paraId="7F4082E9" w14:textId="77777777">
      <w:pPr>
        <w:widowControl w:val="0"/>
        <w:autoSpaceDE w:val="0"/>
        <w:adjustRightInd w:val="0"/>
        <w:spacing w:after="240" w:line="240" w:lineRule="auto"/>
        <w:textAlignment w:val="auto"/>
        <w:rPr>
          <w:rFonts w:cs="Arial" w:eastAsiaTheme="minorEastAsia"/>
          <w:b/>
          <w:bCs/>
          <w:color w:val="auto"/>
          <w14:ligatures w14:val="standardContextual"/>
        </w:rPr>
      </w:pPr>
      <w:r w:rsidRPr="00A2109C">
        <w:rPr>
          <w:rFonts w:ascii="Arial" w:hAnsi="Arial" w:cs="Arial" w:eastAsiaTheme="minorEastAsia"/>
          <w:color w:val="auto"/>
          <w:sz w:val="20"/>
          <w:szCs w:val="20"/>
          <w14:ligatures w14:val="standardContextual"/>
        </w:rPr>
        <w:br/>
      </w:r>
      <w:r w:rsidRPr="000C12FF">
        <w:rPr>
          <w:rFonts w:cs="Arial" w:eastAsiaTheme="minorEastAsia"/>
          <w:b/>
          <w:bCs/>
          <w:color w:val="auto"/>
          <w14:ligatures w14:val="standardContextual"/>
        </w:rPr>
        <w:t>Bijlage 2. Ondertekenaars Convenant Schoon en Emissieloos Bouwen behorende bij artikel 5 van de regeling</w:t>
      </w:r>
    </w:p>
    <w:p w:rsidRPr="000C12FF" w:rsidR="00475E4A" w:rsidP="00475E4A" w:rsidRDefault="00475E4A" w14:paraId="68EB224C" w14:textId="5A26F152">
      <w:pPr>
        <w:widowControl w:val="0"/>
        <w:autoSpaceDE w:val="0"/>
        <w:adjustRightInd w:val="0"/>
        <w:spacing w:after="240" w:line="240" w:lineRule="auto"/>
        <w:textAlignment w:val="auto"/>
        <w:rPr>
          <w:rFonts w:cs="Arial" w:eastAsiaTheme="minorEastAsia"/>
          <w:color w:val="auto"/>
          <w14:ligatures w14:val="standardContextual"/>
        </w:rPr>
      </w:pPr>
      <w:r w:rsidRPr="000C12FF">
        <w:rPr>
          <w:rFonts w:cs="Arial" w:eastAsiaTheme="minorEastAsia"/>
          <w:color w:val="auto"/>
          <w14:ligatures w14:val="standardContextual"/>
        </w:rPr>
        <w:t>De medeoverheden die hieronder genoemd zijn bij het betreffende jaar hebben allen het Convenant Schoon en Emissieloos Bouwen ondertekend voor 20 augustus van het voorgaande jaar. Daardoor komen</w:t>
      </w:r>
      <w:r w:rsidR="0065754D">
        <w:rPr>
          <w:rFonts w:cs="Arial" w:eastAsiaTheme="minorEastAsia"/>
          <w:color w:val="auto"/>
          <w14:ligatures w14:val="standardContextual"/>
        </w:rPr>
        <w:t xml:space="preserve"> </w:t>
      </w:r>
      <w:r w:rsidRPr="000C12FF">
        <w:rPr>
          <w:rFonts w:cs="Arial" w:eastAsiaTheme="minorEastAsia"/>
          <w:color w:val="auto"/>
          <w14:ligatures w14:val="standardContextual"/>
        </w:rPr>
        <w:t xml:space="preserve">de volgende medeoverheden in aanmerking voor een rijksbijdrage op grond van deze regeling in de genoemde jaren. </w:t>
      </w:r>
    </w:p>
    <w:p w:rsidRPr="000C12FF" w:rsidR="00475E4A" w:rsidP="00475E4A" w:rsidRDefault="00475E4A" w14:paraId="1F8FAEFA" w14:textId="77777777">
      <w:pPr>
        <w:widowControl w:val="0"/>
        <w:autoSpaceDE w:val="0"/>
        <w:adjustRightInd w:val="0"/>
        <w:spacing w:after="240" w:line="240" w:lineRule="auto"/>
        <w:textAlignment w:val="auto"/>
        <w:rPr>
          <w:rFonts w:cs="Arial" w:eastAsiaTheme="minorEastAsia"/>
          <w:b/>
          <w:bCs/>
          <w:color w:val="auto"/>
          <w14:ligatures w14:val="standardContextual"/>
        </w:rPr>
      </w:pPr>
      <w:r w:rsidRPr="000C12FF">
        <w:rPr>
          <w:rFonts w:cs="Arial" w:eastAsiaTheme="minorEastAsia"/>
          <w:b/>
          <w:bCs/>
          <w:color w:val="auto"/>
          <w14:ligatures w14:val="standardContextual"/>
        </w:rPr>
        <w:t>Convenantpartijen 2024</w:t>
      </w:r>
    </w:p>
    <w:p w:rsidRPr="000C12FF" w:rsidR="00475E4A" w:rsidP="00475E4A" w:rsidRDefault="00475E4A" w14:paraId="66387FD7" w14:textId="77777777">
      <w:pPr>
        <w:widowControl w:val="0"/>
        <w:autoSpaceDE w:val="0"/>
        <w:adjustRightInd w:val="0"/>
        <w:spacing w:after="240" w:line="240" w:lineRule="auto"/>
        <w:textAlignment w:val="auto"/>
        <w:rPr>
          <w:rFonts w:cs="Arial" w:eastAsiaTheme="minorEastAsia"/>
          <w:color w:val="auto"/>
          <w14:ligatures w14:val="standardContextual"/>
        </w:rPr>
      </w:pPr>
      <w:r w:rsidRPr="000C12FF">
        <w:rPr>
          <w:rFonts w:cs="Arial" w:eastAsiaTheme="minorEastAsia"/>
          <w:i/>
          <w:iCs/>
          <w:color w:val="auto"/>
          <w14:ligatures w14:val="standardContextual"/>
        </w:rPr>
        <w:t>Gemeenten</w:t>
      </w:r>
      <w:r w:rsidRPr="000C12FF">
        <w:rPr>
          <w:rFonts w:cs="Arial" w:eastAsiaTheme="minorEastAsia"/>
          <w:i/>
          <w:iCs/>
          <w:color w:val="auto"/>
          <w14:ligatures w14:val="standardContextual"/>
        </w:rPr>
        <w:br/>
      </w:r>
      <w:r w:rsidRPr="000C12FF">
        <w:rPr>
          <w:rFonts w:cs="Arial" w:eastAsiaTheme="minorEastAsia"/>
          <w:color w:val="auto"/>
          <w14:ligatures w14:val="standardContextual"/>
        </w:rPr>
        <w:t>Amsterdam, Arnhem, Breda, Den Haag, Eindhoven, Harderwijk, ’s-Hertogenbosch, Leiden, Nijmegen, Rotterdam, Tilburg en Utrecht.</w:t>
      </w:r>
    </w:p>
    <w:p w:rsidRPr="000C12FF" w:rsidR="00475E4A" w:rsidP="00475E4A" w:rsidRDefault="00475E4A" w14:paraId="208D3ED6" w14:textId="77777777">
      <w:pPr>
        <w:widowControl w:val="0"/>
        <w:autoSpaceDE w:val="0"/>
        <w:adjustRightInd w:val="0"/>
        <w:spacing w:after="240" w:line="240" w:lineRule="auto"/>
        <w:textAlignment w:val="auto"/>
        <w:rPr>
          <w:rFonts w:cs="Arial" w:eastAsiaTheme="minorEastAsia"/>
          <w:color w:val="auto"/>
          <w14:ligatures w14:val="standardContextual"/>
        </w:rPr>
      </w:pPr>
      <w:r w:rsidRPr="000C12FF">
        <w:rPr>
          <w:rFonts w:cs="Arial" w:eastAsiaTheme="minorEastAsia"/>
          <w:i/>
          <w:iCs/>
          <w:color w:val="auto"/>
          <w14:ligatures w14:val="standardContextual"/>
        </w:rPr>
        <w:t>Provincies</w:t>
      </w:r>
      <w:r w:rsidRPr="000C12FF">
        <w:rPr>
          <w:rFonts w:cs="Arial" w:eastAsiaTheme="minorEastAsia"/>
          <w:i/>
          <w:iCs/>
          <w:color w:val="auto"/>
          <w14:ligatures w14:val="standardContextual"/>
        </w:rPr>
        <w:br/>
      </w:r>
      <w:r w:rsidRPr="000C12FF">
        <w:rPr>
          <w:rFonts w:cs="Arial" w:eastAsiaTheme="minorEastAsia"/>
          <w:color w:val="auto"/>
          <w14:ligatures w14:val="standardContextual"/>
        </w:rPr>
        <w:t xml:space="preserve">Drenthe, Flevoland, Friesland, Gelderland, Groningen, Limburg, Noord-Brabant, Noord-Holland, Overijssel, Utrecht, Zeeland en Zuid-Holland. </w:t>
      </w:r>
    </w:p>
    <w:p w:rsidRPr="000C12FF" w:rsidR="00475E4A" w:rsidP="00475E4A" w:rsidRDefault="00475E4A" w14:paraId="65B06883" w14:textId="0BC8510A">
      <w:pPr>
        <w:widowControl w:val="0"/>
        <w:autoSpaceDE w:val="0"/>
        <w:adjustRightInd w:val="0"/>
        <w:spacing w:after="240" w:line="240" w:lineRule="auto"/>
        <w:textAlignment w:val="auto"/>
        <w:rPr>
          <w:rFonts w:cs="Arial" w:eastAsiaTheme="minorEastAsia"/>
          <w:color w:val="auto"/>
          <w14:ligatures w14:val="standardContextual"/>
        </w:rPr>
      </w:pPr>
      <w:r w:rsidRPr="000C12FF">
        <w:rPr>
          <w:rFonts w:cs="Arial" w:eastAsiaTheme="minorEastAsia"/>
          <w:i/>
          <w:iCs/>
          <w:color w:val="auto"/>
          <w14:ligatures w14:val="standardContextual"/>
        </w:rPr>
        <w:t>Waterschappen</w:t>
      </w:r>
      <w:r w:rsidRPr="000C12FF">
        <w:rPr>
          <w:rFonts w:cs="Arial" w:eastAsiaTheme="minorEastAsia"/>
          <w:color w:val="auto"/>
          <w14:ligatures w14:val="standardContextual"/>
        </w:rPr>
        <w:br/>
        <w:t xml:space="preserve">Aa en Maas, Amstel Gooi en Vecht, Brabantse Delta, De Dommel, Drents Overijsselse Delta, Hollandse Delta, Hoogheemraadschap De Stichtse Rijnlanden, Hoogheemraadschap Hollands Noorderkwartier, Hoogheemraadschap van Delfland, Hoogheemraadschap van Rijnland, Hoogheemraadschap van Schieland en de Krimpenerwaard, Hunze en Aa’s, Noorderzijlvest, Rijn en IJssel, Rivierenland, Scheldestromen, Vallei en Veluwe, Vechtstromen, Limburg, Fryslân en Zuiderzeeland.  </w:t>
      </w:r>
    </w:p>
    <w:p w:rsidRPr="000C12FF" w:rsidR="00475E4A" w:rsidP="00475E4A" w:rsidRDefault="00475E4A" w14:paraId="3BA66273" w14:textId="77777777">
      <w:pPr>
        <w:widowControl w:val="0"/>
        <w:autoSpaceDE w:val="0"/>
        <w:adjustRightInd w:val="0"/>
        <w:spacing w:after="240" w:line="240" w:lineRule="auto"/>
        <w:textAlignment w:val="auto"/>
        <w:rPr>
          <w:rFonts w:cs="Arial" w:eastAsiaTheme="minorEastAsia"/>
          <w:b/>
          <w:bCs/>
          <w:color w:val="auto"/>
          <w14:ligatures w14:val="standardContextual"/>
        </w:rPr>
      </w:pPr>
      <w:r w:rsidRPr="000C12FF">
        <w:rPr>
          <w:rFonts w:cs="Arial" w:eastAsiaTheme="minorEastAsia"/>
          <w:b/>
          <w:bCs/>
          <w:color w:val="auto"/>
          <w14:ligatures w14:val="standardContextual"/>
        </w:rPr>
        <w:t>Convenantpartijen 2025</w:t>
      </w:r>
    </w:p>
    <w:p w:rsidRPr="000C12FF" w:rsidR="00475E4A" w:rsidP="00475E4A" w:rsidRDefault="00475E4A" w14:paraId="791BAF17" w14:textId="77777777">
      <w:pPr>
        <w:widowControl w:val="0"/>
        <w:autoSpaceDE w:val="0"/>
        <w:adjustRightInd w:val="0"/>
        <w:spacing w:after="240" w:line="240" w:lineRule="auto"/>
        <w:textAlignment w:val="auto"/>
        <w:rPr>
          <w:rFonts w:cs="Arial" w:eastAsiaTheme="minorEastAsia"/>
          <w:color w:val="auto"/>
          <w14:ligatures w14:val="standardContextual"/>
        </w:rPr>
      </w:pPr>
      <w:r w:rsidRPr="000C12FF">
        <w:rPr>
          <w:rFonts w:cs="Arial" w:eastAsiaTheme="minorEastAsia"/>
          <w:i/>
          <w:iCs/>
          <w:color w:val="auto"/>
          <w14:ligatures w14:val="standardContextual"/>
        </w:rPr>
        <w:t>Gemeenten</w:t>
      </w:r>
      <w:r w:rsidRPr="000C12FF">
        <w:rPr>
          <w:rFonts w:cs="Arial" w:eastAsiaTheme="minorEastAsia"/>
          <w:i/>
          <w:iCs/>
          <w:color w:val="auto"/>
          <w14:ligatures w14:val="standardContextual"/>
        </w:rPr>
        <w:br/>
      </w:r>
      <w:r w:rsidRPr="000C12FF">
        <w:rPr>
          <w:rFonts w:cs="Arial" w:eastAsiaTheme="minorEastAsia"/>
          <w:color w:val="auto"/>
          <w14:ligatures w14:val="standardContextual"/>
        </w:rPr>
        <w:t xml:space="preserve">Almere, Alphen aan den Rijn, Amersfoort, Asten, Amsterdam, Arnhem, Breda, Brummen, Den Haag, Doetinchem, Dordrecht, Eindhoven, Enschede, Geldrop-Mierlo, Gouda, Haarlem, Harderwijk, Heemstede, Heerlen, Helmond, Heusden, ’s-Hertogenbosch, Leiden, Leusden, </w:t>
      </w:r>
      <w:r>
        <w:rPr>
          <w:rFonts w:cs="Arial" w:eastAsiaTheme="minorEastAsia"/>
          <w:color w:val="auto"/>
          <w14:ligatures w14:val="standardContextual"/>
        </w:rPr>
        <w:t xml:space="preserve">Losser, </w:t>
      </w:r>
      <w:r w:rsidRPr="000C12FF">
        <w:rPr>
          <w:rFonts w:cs="Arial" w:eastAsiaTheme="minorEastAsia"/>
          <w:color w:val="auto"/>
          <w14:ligatures w14:val="standardContextual"/>
        </w:rPr>
        <w:t>Nijmegen, Overbetuwe, Renkum, Rotterdam, Tilburg, Utrecht, Voorst, Waadhoeke, Waalre, Waalwijk, IJsselstein, Zaanstad en Zeist.</w:t>
      </w:r>
    </w:p>
    <w:p w:rsidRPr="000C12FF" w:rsidR="00475E4A" w:rsidP="00475E4A" w:rsidRDefault="00475E4A" w14:paraId="3618F2FA" w14:textId="77777777">
      <w:pPr>
        <w:widowControl w:val="0"/>
        <w:autoSpaceDE w:val="0"/>
        <w:adjustRightInd w:val="0"/>
        <w:spacing w:after="240" w:line="240" w:lineRule="auto"/>
        <w:textAlignment w:val="auto"/>
        <w:rPr>
          <w:rFonts w:cs="Arial" w:eastAsiaTheme="minorEastAsia"/>
          <w:color w:val="auto"/>
          <w14:ligatures w14:val="standardContextual"/>
        </w:rPr>
      </w:pPr>
      <w:r w:rsidRPr="000C12FF">
        <w:rPr>
          <w:rFonts w:cs="Arial" w:eastAsiaTheme="minorEastAsia"/>
          <w:i/>
          <w:iCs/>
          <w:color w:val="auto"/>
          <w14:ligatures w14:val="standardContextual"/>
        </w:rPr>
        <w:t>Provincies</w:t>
      </w:r>
      <w:r w:rsidRPr="000C12FF">
        <w:rPr>
          <w:rFonts w:cs="Arial" w:eastAsiaTheme="minorEastAsia"/>
          <w:i/>
          <w:iCs/>
          <w:color w:val="auto"/>
          <w14:ligatures w14:val="standardContextual"/>
        </w:rPr>
        <w:br/>
      </w:r>
      <w:r w:rsidRPr="000C12FF">
        <w:rPr>
          <w:rFonts w:cs="Arial" w:eastAsiaTheme="minorEastAsia"/>
          <w:color w:val="auto"/>
          <w14:ligatures w14:val="standardContextual"/>
        </w:rPr>
        <w:t xml:space="preserve">Drenthe, Flevoland, Friesland, Gelderland, Groningen, Limburg, Noord-Brabant, Noord-Holland, Overijssel, Utrecht, Zeeland en Zuid-Holland. </w:t>
      </w:r>
    </w:p>
    <w:p w:rsidRPr="000C12FF" w:rsidR="00475E4A" w:rsidP="00475E4A" w:rsidRDefault="00475E4A" w14:paraId="762E30C4" w14:textId="3BFABD48">
      <w:pPr>
        <w:widowControl w:val="0"/>
        <w:autoSpaceDE w:val="0"/>
        <w:adjustRightInd w:val="0"/>
        <w:spacing w:after="240" w:line="240" w:lineRule="auto"/>
        <w:textAlignment w:val="auto"/>
        <w:rPr>
          <w:rFonts w:cs="Arial" w:eastAsiaTheme="minorEastAsia"/>
          <w:color w:val="auto"/>
          <w14:ligatures w14:val="standardContextual"/>
        </w:rPr>
      </w:pPr>
      <w:r w:rsidRPr="000C12FF">
        <w:rPr>
          <w:rFonts w:cs="Arial" w:eastAsiaTheme="minorEastAsia"/>
          <w:i/>
          <w:iCs/>
          <w:color w:val="auto"/>
          <w14:ligatures w14:val="standardContextual"/>
        </w:rPr>
        <w:t>Waterschappen</w:t>
      </w:r>
      <w:r w:rsidRPr="000C12FF">
        <w:rPr>
          <w:rFonts w:cs="Arial" w:eastAsiaTheme="minorEastAsia"/>
          <w:color w:val="auto"/>
          <w14:ligatures w14:val="standardContextual"/>
        </w:rPr>
        <w:br/>
        <w:t xml:space="preserve">Aa en Maas, Amstel Gooi en Vecht, Brabantse Delta, De Dommel, Drents Overijsselse Delta, Hollandse Delta, Hoogheemraadschap De Stichtse Rijnlanden, Hoogheemraadschap Hollands Noorderkwartier, Hoogheemraadschap van Delfland, Hoogheemraadschap van Rijnland, Hoogheemraadschap van Schieland en de Krimpenerwaard, Hunze en Aa’s, Noorderzijlvest, Rijn en IJssel, Rivierenland, Scheldestromen, Vallei en Veluwe, Vechtstromen, Limburg, Fryslân en Zuiderzeeland.  </w:t>
      </w:r>
    </w:p>
    <w:p w:rsidRPr="000C12FF" w:rsidR="00475E4A" w:rsidP="00475E4A" w:rsidRDefault="00475E4A" w14:paraId="6511C823" w14:textId="77777777">
      <w:pPr>
        <w:widowControl w:val="0"/>
        <w:autoSpaceDE w:val="0"/>
        <w:adjustRightInd w:val="0"/>
        <w:spacing w:after="240" w:line="240" w:lineRule="auto"/>
        <w:textAlignment w:val="auto"/>
        <w:rPr>
          <w:rFonts w:cs="Arial" w:eastAsiaTheme="minorEastAsia"/>
          <w:b/>
          <w:bCs/>
          <w:color w:val="auto"/>
          <w14:ligatures w14:val="standardContextual"/>
        </w:rPr>
      </w:pPr>
      <w:r w:rsidRPr="000C12FF">
        <w:rPr>
          <w:rFonts w:cs="Arial" w:eastAsiaTheme="minorEastAsia"/>
          <w:b/>
          <w:bCs/>
          <w:color w:val="auto"/>
          <w14:ligatures w14:val="standardContextual"/>
        </w:rPr>
        <w:t>Convenantpartijen 2026</w:t>
      </w:r>
    </w:p>
    <w:p w:rsidRPr="000C12FF" w:rsidR="00475E4A" w:rsidP="00475E4A" w:rsidRDefault="00475E4A" w14:paraId="7637C725" w14:textId="60E67250">
      <w:pPr>
        <w:widowControl w:val="0"/>
        <w:autoSpaceDE w:val="0"/>
        <w:adjustRightInd w:val="0"/>
        <w:spacing w:after="240" w:line="240" w:lineRule="auto"/>
        <w:textAlignment w:val="auto"/>
        <w:rPr>
          <w:rFonts w:cs="Arial" w:eastAsiaTheme="minorEastAsia"/>
          <w:color w:val="auto"/>
          <w14:ligatures w14:val="standardContextual"/>
        </w:rPr>
      </w:pPr>
      <w:r w:rsidRPr="000C12FF">
        <w:rPr>
          <w:rFonts w:cs="Arial" w:eastAsiaTheme="minorEastAsia"/>
          <w:i/>
          <w:iCs/>
          <w:color w:val="auto"/>
          <w14:ligatures w14:val="standardContextual"/>
        </w:rPr>
        <w:t>Gemeenten</w:t>
      </w:r>
      <w:r w:rsidRPr="000C12FF">
        <w:rPr>
          <w:rFonts w:cs="Arial" w:eastAsiaTheme="minorEastAsia"/>
          <w:i/>
          <w:iCs/>
          <w:color w:val="auto"/>
          <w14:ligatures w14:val="standardContextual"/>
        </w:rPr>
        <w:br/>
      </w:r>
      <w:r w:rsidRPr="000C12FF">
        <w:rPr>
          <w:rFonts w:cs="Arial" w:eastAsiaTheme="minorEastAsia"/>
          <w:color w:val="auto"/>
          <w14:ligatures w14:val="standardContextual"/>
        </w:rPr>
        <w:t>Almere, Alphen aan den Rijn, Amersfoort,</w:t>
      </w:r>
      <w:r w:rsidR="00E30DB8">
        <w:rPr>
          <w:rFonts w:cs="Arial" w:eastAsiaTheme="minorEastAsia"/>
          <w:color w:val="auto"/>
          <w14:ligatures w14:val="standardContextual"/>
        </w:rPr>
        <w:t xml:space="preserve"> </w:t>
      </w:r>
      <w:r w:rsidRPr="00E30DB8" w:rsidR="00E30DB8">
        <w:rPr>
          <w:rFonts w:cs="Arial" w:eastAsiaTheme="minorEastAsia"/>
          <w:color w:val="auto"/>
          <w14:ligatures w14:val="standardContextual"/>
        </w:rPr>
        <w:t>Apeldoorn,</w:t>
      </w:r>
      <w:r w:rsidRPr="000C12FF">
        <w:rPr>
          <w:rFonts w:cs="Arial" w:eastAsiaTheme="minorEastAsia"/>
          <w:color w:val="auto"/>
          <w14:ligatures w14:val="standardContextual"/>
        </w:rPr>
        <w:t xml:space="preserve"> Asten, Amsterdam, Arnhem, </w:t>
      </w:r>
      <w:r w:rsidRPr="00E30DB8" w:rsidR="00E30DB8">
        <w:rPr>
          <w:rFonts w:cs="Arial" w:eastAsiaTheme="minorEastAsia"/>
          <w:color w:val="auto"/>
          <w14:ligatures w14:val="standardContextual"/>
        </w:rPr>
        <w:t xml:space="preserve">Berg en Dal, Bergen, Bergen op Zoom, Beuningen, Beverwijk, Bloemendaal, </w:t>
      </w:r>
      <w:r w:rsidRPr="000C12FF">
        <w:rPr>
          <w:rFonts w:cs="Arial" w:eastAsiaTheme="minorEastAsia"/>
          <w:color w:val="auto"/>
          <w14:ligatures w14:val="standardContextual"/>
        </w:rPr>
        <w:t>Breda, Brummen,</w:t>
      </w:r>
      <w:r w:rsidRPr="00E30DB8" w:rsidR="00E30DB8">
        <w:rPr>
          <w:rFonts w:cs="Arial" w:eastAsiaTheme="minorEastAsia"/>
          <w:color w:val="auto"/>
          <w14:ligatures w14:val="standardContextual"/>
        </w:rPr>
        <w:t xml:space="preserve"> Bunnik, Castricum, De Bilt, De Fryske Marren, De Ronde Venen,</w:t>
      </w:r>
      <w:r w:rsidR="00E30DB8">
        <w:rPr>
          <w:rFonts w:cs="Arial" w:eastAsiaTheme="minorEastAsia"/>
          <w:color w:val="auto"/>
          <w14:ligatures w14:val="standardContextual"/>
        </w:rPr>
        <w:t xml:space="preserve"> </w:t>
      </w:r>
      <w:r w:rsidRPr="000C12FF">
        <w:rPr>
          <w:rFonts w:cs="Arial" w:eastAsiaTheme="minorEastAsia"/>
          <w:color w:val="auto"/>
          <w14:ligatures w14:val="standardContextual"/>
        </w:rPr>
        <w:t>Den Haag,</w:t>
      </w:r>
      <w:r w:rsidRPr="00A6328A" w:rsidR="00A6328A">
        <w:rPr>
          <w:rFonts w:cs="Arial" w:eastAsiaTheme="minorEastAsia"/>
          <w:color w:val="auto"/>
          <w14:ligatures w14:val="standardContextual"/>
        </w:rPr>
        <w:t xml:space="preserve"> Dijk en Waard, Doesburg,</w:t>
      </w:r>
      <w:r w:rsidRPr="000C12FF">
        <w:rPr>
          <w:rFonts w:cs="Arial" w:eastAsiaTheme="minorEastAsia"/>
          <w:color w:val="auto"/>
          <w14:ligatures w14:val="standardContextual"/>
        </w:rPr>
        <w:t xml:space="preserve"> Doetinchem, </w:t>
      </w:r>
      <w:r w:rsidRPr="00A6328A" w:rsidR="00A6328A">
        <w:rPr>
          <w:rFonts w:cs="Arial" w:eastAsiaTheme="minorEastAsia"/>
          <w:color w:val="auto"/>
          <w14:ligatures w14:val="standardContextual"/>
        </w:rPr>
        <w:t xml:space="preserve">Dongen, </w:t>
      </w:r>
      <w:r w:rsidRPr="000C12FF">
        <w:rPr>
          <w:rFonts w:cs="Arial" w:eastAsiaTheme="minorEastAsia"/>
          <w:color w:val="auto"/>
          <w14:ligatures w14:val="standardContextual"/>
        </w:rPr>
        <w:t xml:space="preserve">Dordrecht, </w:t>
      </w:r>
      <w:r w:rsidRPr="00A6328A" w:rsidR="00A6328A">
        <w:rPr>
          <w:rFonts w:cs="Arial" w:eastAsiaTheme="minorEastAsia"/>
          <w:color w:val="auto"/>
          <w14:ligatures w14:val="standardContextual"/>
        </w:rPr>
        <w:t xml:space="preserve">Druten, Duiven, Ede, </w:t>
      </w:r>
      <w:r w:rsidRPr="000C12FF">
        <w:rPr>
          <w:rFonts w:cs="Arial" w:eastAsiaTheme="minorEastAsia"/>
          <w:color w:val="auto"/>
          <w14:ligatures w14:val="standardContextual"/>
        </w:rPr>
        <w:t>Eindhoven, Enschede, Geldrop-Mierlo, Gouda,</w:t>
      </w:r>
      <w:r w:rsidRPr="00A6328A" w:rsidR="00A6328A">
        <w:rPr>
          <w:rFonts w:cs="Arial" w:eastAsiaTheme="minorEastAsia"/>
          <w:color w:val="auto"/>
          <w14:ligatures w14:val="standardContextual"/>
        </w:rPr>
        <w:t xml:space="preserve"> Groningen,</w:t>
      </w:r>
      <w:r w:rsidRPr="000C12FF">
        <w:rPr>
          <w:rFonts w:cs="Arial" w:eastAsiaTheme="minorEastAsia"/>
          <w:color w:val="auto"/>
          <w14:ligatures w14:val="standardContextual"/>
        </w:rPr>
        <w:t xml:space="preserve"> Haarlem, </w:t>
      </w:r>
      <w:r w:rsidRPr="00A6328A" w:rsidR="00A6328A">
        <w:rPr>
          <w:rFonts w:cs="Arial" w:eastAsiaTheme="minorEastAsia"/>
          <w:color w:val="auto"/>
          <w14:ligatures w14:val="standardContextual"/>
        </w:rPr>
        <w:t xml:space="preserve">Haarlemmermeer, </w:t>
      </w:r>
      <w:r w:rsidRPr="000C12FF">
        <w:rPr>
          <w:rFonts w:cs="Arial" w:eastAsiaTheme="minorEastAsia"/>
          <w:color w:val="auto"/>
          <w14:ligatures w14:val="standardContextual"/>
        </w:rPr>
        <w:t xml:space="preserve">Harderwijk, </w:t>
      </w:r>
      <w:r w:rsidRPr="00A6328A" w:rsidR="00A6328A">
        <w:rPr>
          <w:rFonts w:cs="Arial" w:eastAsiaTheme="minorEastAsia"/>
          <w:color w:val="auto"/>
          <w14:ligatures w14:val="standardContextual"/>
        </w:rPr>
        <w:t xml:space="preserve">Hattem, Heemskerk, </w:t>
      </w:r>
      <w:r w:rsidRPr="000C12FF">
        <w:rPr>
          <w:rFonts w:cs="Arial" w:eastAsiaTheme="minorEastAsia"/>
          <w:color w:val="auto"/>
          <w14:ligatures w14:val="standardContextual"/>
        </w:rPr>
        <w:t xml:space="preserve">Heemstede, </w:t>
      </w:r>
      <w:r w:rsidRPr="00A6328A" w:rsidR="00A6328A">
        <w:rPr>
          <w:rFonts w:cs="Arial" w:eastAsiaTheme="minorEastAsia"/>
          <w:color w:val="auto"/>
          <w14:ligatures w14:val="standardContextual"/>
        </w:rPr>
        <w:t xml:space="preserve">Heerenveen, </w:t>
      </w:r>
      <w:r w:rsidRPr="000C12FF">
        <w:rPr>
          <w:rFonts w:cs="Arial" w:eastAsiaTheme="minorEastAsia"/>
          <w:color w:val="auto"/>
          <w14:ligatures w14:val="standardContextual"/>
        </w:rPr>
        <w:t xml:space="preserve">Heerlen, </w:t>
      </w:r>
      <w:r w:rsidRPr="00A6328A" w:rsidR="00A6328A">
        <w:rPr>
          <w:rFonts w:cs="Arial" w:eastAsiaTheme="minorEastAsia"/>
          <w:color w:val="auto"/>
          <w14:ligatures w14:val="standardContextual"/>
        </w:rPr>
        <w:t xml:space="preserve">Heiloo, Hellendoorn, </w:t>
      </w:r>
      <w:r w:rsidRPr="000C12FF">
        <w:rPr>
          <w:rFonts w:cs="Arial" w:eastAsiaTheme="minorEastAsia"/>
          <w:color w:val="auto"/>
          <w14:ligatures w14:val="standardContextual"/>
        </w:rPr>
        <w:t xml:space="preserve">Helmond, </w:t>
      </w:r>
      <w:r w:rsidRPr="00A6328A" w:rsidR="00A6328A">
        <w:rPr>
          <w:rFonts w:cs="Arial" w:eastAsiaTheme="minorEastAsia"/>
          <w:color w:val="auto"/>
          <w14:ligatures w14:val="standardContextual"/>
        </w:rPr>
        <w:t xml:space="preserve">Hengelo, </w:t>
      </w:r>
      <w:r w:rsidRPr="000C12FF">
        <w:rPr>
          <w:rFonts w:cs="Arial" w:eastAsiaTheme="minorEastAsia"/>
          <w:color w:val="auto"/>
          <w14:ligatures w14:val="standardContextual"/>
        </w:rPr>
        <w:t xml:space="preserve">Heusden, ’s-Hertogenbosch, </w:t>
      </w:r>
      <w:r w:rsidRPr="00A6328A" w:rsidR="00A6328A">
        <w:rPr>
          <w:rFonts w:cs="Arial" w:eastAsiaTheme="minorEastAsia"/>
          <w:color w:val="auto"/>
          <w14:ligatures w14:val="standardContextual"/>
        </w:rPr>
        <w:t xml:space="preserve">Hilversum, Hoorn, Kampen, </w:t>
      </w:r>
      <w:r w:rsidRPr="000C12FF">
        <w:rPr>
          <w:rFonts w:cs="Arial" w:eastAsiaTheme="minorEastAsia"/>
          <w:color w:val="auto"/>
          <w14:ligatures w14:val="standardContextual"/>
        </w:rPr>
        <w:t>Leiden, Leusden,</w:t>
      </w:r>
      <w:r>
        <w:rPr>
          <w:rFonts w:cs="Arial" w:eastAsiaTheme="minorEastAsia"/>
          <w:color w:val="auto"/>
          <w14:ligatures w14:val="standardContextual"/>
        </w:rPr>
        <w:t xml:space="preserve"> </w:t>
      </w:r>
      <w:r w:rsidRPr="00A6328A" w:rsidR="00A6328A">
        <w:rPr>
          <w:rFonts w:cs="Arial" w:eastAsiaTheme="minorEastAsia"/>
          <w:color w:val="auto"/>
          <w14:ligatures w14:val="standardContextual"/>
        </w:rPr>
        <w:t xml:space="preserve">Lingewaard, </w:t>
      </w:r>
      <w:r>
        <w:rPr>
          <w:rFonts w:cs="Arial" w:eastAsiaTheme="minorEastAsia"/>
          <w:color w:val="auto"/>
          <w14:ligatures w14:val="standardContextual"/>
        </w:rPr>
        <w:t>Losser,</w:t>
      </w:r>
      <w:r w:rsidRPr="000C12FF">
        <w:rPr>
          <w:rFonts w:cs="Arial" w:eastAsiaTheme="minorEastAsia"/>
          <w:color w:val="auto"/>
          <w14:ligatures w14:val="standardContextual"/>
        </w:rPr>
        <w:t xml:space="preserve"> </w:t>
      </w:r>
      <w:r w:rsidRPr="00A6328A" w:rsidR="00A6328A">
        <w:rPr>
          <w:rFonts w:cs="Arial" w:eastAsiaTheme="minorEastAsia"/>
          <w:color w:val="auto"/>
          <w14:ligatures w14:val="standardContextual"/>
        </w:rPr>
        <w:t xml:space="preserve">Medemblik, Meppel, Montfoort, </w:t>
      </w:r>
      <w:r w:rsidRPr="000C12FF">
        <w:rPr>
          <w:rFonts w:cs="Arial" w:eastAsiaTheme="minorEastAsia"/>
          <w:color w:val="auto"/>
          <w14:ligatures w14:val="standardContextual"/>
        </w:rPr>
        <w:t xml:space="preserve">Nijmegen, </w:t>
      </w:r>
      <w:r w:rsidRPr="00A6328A" w:rsidR="00A6328A">
        <w:rPr>
          <w:rFonts w:cs="Arial" w:eastAsiaTheme="minorEastAsia"/>
          <w:color w:val="auto"/>
          <w14:ligatures w14:val="standardContextual"/>
        </w:rPr>
        <w:t xml:space="preserve">Oosterhout, Oudewater, </w:t>
      </w:r>
      <w:r w:rsidRPr="000C12FF">
        <w:rPr>
          <w:rFonts w:cs="Arial" w:eastAsiaTheme="minorEastAsia"/>
          <w:color w:val="auto"/>
          <w14:ligatures w14:val="standardContextual"/>
        </w:rPr>
        <w:t xml:space="preserve">Overbetuwe, Renkum, </w:t>
      </w:r>
      <w:r w:rsidRPr="00A6328A" w:rsidR="00A6328A">
        <w:rPr>
          <w:rFonts w:cs="Arial" w:eastAsiaTheme="minorEastAsia"/>
          <w:color w:val="auto"/>
          <w14:ligatures w14:val="standardContextual"/>
        </w:rPr>
        <w:t xml:space="preserve">Rheden, </w:t>
      </w:r>
      <w:r w:rsidRPr="000C12FF">
        <w:rPr>
          <w:rFonts w:cs="Arial" w:eastAsiaTheme="minorEastAsia"/>
          <w:color w:val="auto"/>
          <w14:ligatures w14:val="standardContextual"/>
        </w:rPr>
        <w:t xml:space="preserve">Rotterdam, </w:t>
      </w:r>
      <w:r w:rsidRPr="00A6328A" w:rsidR="00A6328A">
        <w:rPr>
          <w:rFonts w:cs="Arial" w:eastAsiaTheme="minorEastAsia"/>
          <w:color w:val="auto"/>
          <w14:ligatures w14:val="standardContextual"/>
        </w:rPr>
        <w:t xml:space="preserve">Terschelling, </w:t>
      </w:r>
      <w:r w:rsidRPr="000C12FF">
        <w:rPr>
          <w:rFonts w:cs="Arial" w:eastAsiaTheme="minorEastAsia"/>
          <w:color w:val="auto"/>
          <w14:ligatures w14:val="standardContextual"/>
        </w:rPr>
        <w:t xml:space="preserve">Tilburg, </w:t>
      </w:r>
      <w:r w:rsidRPr="00A6328A" w:rsidR="00A6328A">
        <w:rPr>
          <w:rFonts w:cs="Arial" w:eastAsiaTheme="minorEastAsia"/>
          <w:color w:val="auto"/>
          <w14:ligatures w14:val="standardContextual"/>
        </w:rPr>
        <w:t xml:space="preserve">Tytsjerksteradiel, Uitgeest, </w:t>
      </w:r>
      <w:r w:rsidRPr="000C12FF">
        <w:rPr>
          <w:rFonts w:cs="Arial" w:eastAsiaTheme="minorEastAsia"/>
          <w:color w:val="auto"/>
          <w14:ligatures w14:val="standardContextual"/>
        </w:rPr>
        <w:t xml:space="preserve">Utrecht, </w:t>
      </w:r>
      <w:r w:rsidRPr="00A6328A" w:rsidR="00A6328A">
        <w:rPr>
          <w:rFonts w:cs="Arial" w:eastAsiaTheme="minorEastAsia"/>
          <w:color w:val="auto"/>
          <w14:ligatures w14:val="standardContextual"/>
        </w:rPr>
        <w:t xml:space="preserve">Utrechtse Heuvelrug, Veenendaal, Velsen, Vijfheerenlanden, </w:t>
      </w:r>
      <w:r w:rsidRPr="000C12FF">
        <w:rPr>
          <w:rFonts w:cs="Arial" w:eastAsiaTheme="minorEastAsia"/>
          <w:color w:val="auto"/>
          <w14:ligatures w14:val="standardContextual"/>
        </w:rPr>
        <w:t xml:space="preserve">Voorst, Waadhoeke, Waalre, Waalwijk, </w:t>
      </w:r>
      <w:r w:rsidRPr="007E70F9" w:rsidR="007E70F9">
        <w:rPr>
          <w:rFonts w:cs="Arial" w:eastAsiaTheme="minorEastAsia"/>
          <w:color w:val="auto"/>
          <w14:ligatures w14:val="standardContextual"/>
        </w:rPr>
        <w:t xml:space="preserve">Wageningen, </w:t>
      </w:r>
      <w:r w:rsidRPr="00A6328A" w:rsidR="00A6328A">
        <w:rPr>
          <w:rFonts w:cs="Arial" w:eastAsiaTheme="minorEastAsia"/>
          <w:color w:val="auto"/>
          <w14:ligatures w14:val="standardContextual"/>
        </w:rPr>
        <w:t xml:space="preserve">Westervoort, Woerden, Woudenberg, </w:t>
      </w:r>
      <w:r w:rsidRPr="000C12FF">
        <w:rPr>
          <w:rFonts w:cs="Arial" w:eastAsiaTheme="minorEastAsia"/>
          <w:color w:val="auto"/>
          <w14:ligatures w14:val="standardContextual"/>
        </w:rPr>
        <w:t>IJsselstein, Zaanstad</w:t>
      </w:r>
      <w:r w:rsidR="009969CE">
        <w:rPr>
          <w:rFonts w:cs="Arial" w:eastAsiaTheme="minorEastAsia"/>
          <w:color w:val="auto"/>
          <w14:ligatures w14:val="standardContextual"/>
        </w:rPr>
        <w:t>,</w:t>
      </w:r>
      <w:r w:rsidRPr="000C12FF">
        <w:rPr>
          <w:rFonts w:cs="Arial" w:eastAsiaTheme="minorEastAsia"/>
          <w:color w:val="auto"/>
          <w14:ligatures w14:val="standardContextual"/>
        </w:rPr>
        <w:t xml:space="preserve"> </w:t>
      </w:r>
      <w:r w:rsidRPr="00A6328A" w:rsidR="00A6328A">
        <w:rPr>
          <w:rFonts w:cs="Arial" w:eastAsiaTheme="minorEastAsia"/>
          <w:color w:val="auto"/>
          <w14:ligatures w14:val="standardContextual"/>
        </w:rPr>
        <w:t xml:space="preserve">Zandvoort, </w:t>
      </w:r>
      <w:r w:rsidRPr="000C12FF">
        <w:rPr>
          <w:rFonts w:cs="Arial" w:eastAsiaTheme="minorEastAsia"/>
          <w:color w:val="auto"/>
          <w14:ligatures w14:val="standardContextual"/>
        </w:rPr>
        <w:t>Zeist</w:t>
      </w:r>
      <w:r w:rsidR="00A6328A">
        <w:rPr>
          <w:rFonts w:cs="Arial" w:eastAsiaTheme="minorEastAsia"/>
          <w:color w:val="auto"/>
          <w14:ligatures w14:val="standardContextual"/>
        </w:rPr>
        <w:t xml:space="preserve"> en </w:t>
      </w:r>
      <w:r w:rsidRPr="00A6328A" w:rsidR="00A6328A">
        <w:rPr>
          <w:rFonts w:cs="Arial" w:eastAsiaTheme="minorEastAsia"/>
          <w:color w:val="auto"/>
          <w14:ligatures w14:val="standardContextual"/>
        </w:rPr>
        <w:t>Zevenaar</w:t>
      </w:r>
      <w:r w:rsidRPr="000C12FF">
        <w:rPr>
          <w:rFonts w:cs="Arial" w:eastAsiaTheme="minorEastAsia"/>
          <w:color w:val="auto"/>
          <w14:ligatures w14:val="standardContextual"/>
        </w:rPr>
        <w:t>.</w:t>
      </w:r>
    </w:p>
    <w:p w:rsidRPr="000C12FF" w:rsidR="00475E4A" w:rsidP="00475E4A" w:rsidRDefault="00475E4A" w14:paraId="54DFCDE0" w14:textId="77777777">
      <w:pPr>
        <w:widowControl w:val="0"/>
        <w:autoSpaceDE w:val="0"/>
        <w:adjustRightInd w:val="0"/>
        <w:spacing w:after="240" w:line="240" w:lineRule="auto"/>
        <w:textAlignment w:val="auto"/>
        <w:rPr>
          <w:rFonts w:cs="Arial" w:eastAsiaTheme="minorEastAsia"/>
          <w:color w:val="auto"/>
          <w14:ligatures w14:val="standardContextual"/>
        </w:rPr>
      </w:pPr>
      <w:r w:rsidRPr="000C12FF">
        <w:rPr>
          <w:rFonts w:cs="Arial" w:eastAsiaTheme="minorEastAsia"/>
          <w:i/>
          <w:iCs/>
          <w:color w:val="auto"/>
          <w14:ligatures w14:val="standardContextual"/>
        </w:rPr>
        <w:t>Provincies</w:t>
      </w:r>
      <w:r w:rsidRPr="000C12FF">
        <w:rPr>
          <w:rFonts w:cs="Arial" w:eastAsiaTheme="minorEastAsia"/>
          <w:i/>
          <w:iCs/>
          <w:color w:val="auto"/>
          <w14:ligatures w14:val="standardContextual"/>
        </w:rPr>
        <w:br/>
      </w:r>
      <w:r w:rsidRPr="000C12FF">
        <w:rPr>
          <w:rFonts w:cs="Arial" w:eastAsiaTheme="minorEastAsia"/>
          <w:color w:val="auto"/>
          <w14:ligatures w14:val="standardContextual"/>
        </w:rPr>
        <w:t xml:space="preserve">Drenthe, Flevoland, Friesland, Gelderland, Groningen, Limburg, Noord-Brabant, Noord-Holland, Overijssel, Utrecht, Zeeland en Zuid-Holland. </w:t>
      </w:r>
    </w:p>
    <w:p w:rsidRPr="000C12FF" w:rsidR="00475E4A" w:rsidP="00475E4A" w:rsidRDefault="00475E4A" w14:paraId="28E9F8E5" w14:textId="3CA0E6A6">
      <w:pPr>
        <w:widowControl w:val="0"/>
        <w:autoSpaceDE w:val="0"/>
        <w:adjustRightInd w:val="0"/>
        <w:spacing w:after="240" w:line="240" w:lineRule="auto"/>
        <w:textAlignment w:val="auto"/>
        <w:rPr>
          <w:rFonts w:cs="Arial" w:eastAsiaTheme="minorEastAsia"/>
          <w:color w:val="auto"/>
          <w14:ligatures w14:val="standardContextual"/>
        </w:rPr>
      </w:pPr>
      <w:r w:rsidRPr="000C12FF">
        <w:rPr>
          <w:rFonts w:cs="Arial" w:eastAsiaTheme="minorEastAsia"/>
          <w:i/>
          <w:iCs/>
          <w:color w:val="auto"/>
          <w14:ligatures w14:val="standardContextual"/>
        </w:rPr>
        <w:t>Waterschappen</w:t>
      </w:r>
      <w:r w:rsidRPr="000C12FF">
        <w:rPr>
          <w:rFonts w:cs="Arial" w:eastAsiaTheme="minorEastAsia"/>
          <w:color w:val="auto"/>
          <w14:ligatures w14:val="standardContextual"/>
        </w:rPr>
        <w:br/>
        <w:t xml:space="preserve">Aa en Maas, Amstel Gooi en Vecht, Brabantse Delta, De Dommel, Drents Overijsselse Delta, Hollandse Delta, Hoogheemraadschap De Stichtse Rijnlanden, Hoogheemraadschap Hollands Noorderkwartier, Hoogheemraadschap van Delfland, Hoogheemraadschap van Rijnland, Hoogheemraadschap van Schieland en de Krimpenerwaard, Hunze en Aa’s, Noorderzijlvest, Rijn en IJssel, Rivierenland, Scheldestromen, Vallei en Veluwe, Vechtstromen, Limburg, Fryslân en Zuiderzeeland.  </w:t>
      </w:r>
    </w:p>
    <w:p w:rsidR="00475E4A" w:rsidP="00475E4A" w:rsidRDefault="00475E4A" w14:paraId="32FE3FF6" w14:textId="77777777">
      <w:pPr>
        <w:spacing w:line="240" w:lineRule="auto"/>
        <w:rPr>
          <w:b/>
          <w:bCs/>
        </w:rPr>
      </w:pPr>
      <w:r w:rsidRPr="000C12FF">
        <w:rPr>
          <w:b/>
          <w:bCs/>
        </w:rPr>
        <w:br w:type="page"/>
      </w:r>
    </w:p>
    <w:p w:rsidR="00475E4A" w:rsidP="00475E4A" w:rsidRDefault="00475E4A" w14:paraId="5EE880E1" w14:textId="34448605">
      <w:pPr>
        <w:rPr>
          <w:b/>
          <w:bCs/>
        </w:rPr>
      </w:pPr>
      <w:r>
        <w:rPr>
          <w:b/>
          <w:bCs/>
        </w:rPr>
        <w:t>BIJLAGE 3 BEHORENDE BIJ ARTIKEL I, ONDERDEEL H, VAN DE REGELING TOT WIJZIGING VAN DE REGELING STIMULERING SCHOON EN EMISSIELOOS BOUWEN VOOR MEDEOVERHEDEN IN VERBAND MET TOETREDING VAN NIEUWE DEELNEMERS AAN HET CONVENANT, AANPASSING BEREKENINGSWIJZE VAN DE RIJKSBIJDRAGE EN ENKELE ANDERE KLEINE WIJZIGINGEN</w:t>
      </w:r>
    </w:p>
    <w:p w:rsidRPr="00817FAD" w:rsidR="00475E4A" w:rsidP="00475E4A" w:rsidRDefault="00475E4A" w14:paraId="18A520A4" w14:textId="77777777">
      <w:pPr>
        <w:rPr>
          <w:rFonts w:cs="Arial" w:eastAsiaTheme="minorEastAsia"/>
          <w:b/>
          <w:bCs/>
          <w:color w:val="auto"/>
          <w14:ligatures w14:val="standardContextual"/>
        </w:rPr>
      </w:pPr>
    </w:p>
    <w:p w:rsidRPr="00817FAD" w:rsidR="00475E4A" w:rsidP="00475E4A" w:rsidRDefault="00475E4A" w14:paraId="11E1F272" w14:textId="77777777">
      <w:pPr>
        <w:widowControl w:val="0"/>
        <w:autoSpaceDE w:val="0"/>
        <w:adjustRightInd w:val="0"/>
        <w:spacing w:after="240" w:line="240" w:lineRule="auto"/>
        <w:textAlignment w:val="auto"/>
        <w:rPr>
          <w:rFonts w:cs="Arial" w:eastAsiaTheme="minorEastAsia"/>
          <w:b/>
          <w:bCs/>
          <w:color w:val="auto"/>
          <w14:ligatures w14:val="standardContextual"/>
        </w:rPr>
      </w:pPr>
      <w:r w:rsidRPr="00817FAD">
        <w:rPr>
          <w:rFonts w:cs="Arial" w:eastAsiaTheme="minorEastAsia"/>
          <w:b/>
          <w:bCs/>
          <w:color w:val="auto"/>
          <w14:ligatures w14:val="standardContextual"/>
        </w:rPr>
        <w:t>Bijlage 3. Vergoedingstabellen voor het bepalen van de hoogte van de uitkering als bedoeld in artikel 6 van de regeling</w:t>
      </w:r>
    </w:p>
    <w:p w:rsidRPr="00817FAD" w:rsidR="00475E4A" w:rsidP="00475E4A" w:rsidRDefault="00475E4A" w14:paraId="241EC21A" w14:textId="77777777">
      <w:pPr>
        <w:widowControl w:val="0"/>
        <w:autoSpaceDE w:val="0"/>
        <w:adjustRightInd w:val="0"/>
        <w:spacing w:line="240" w:lineRule="auto"/>
        <w:textAlignment w:val="auto"/>
        <w:rPr>
          <w:rFonts w:cs="Arial" w:eastAsiaTheme="minorEastAsia"/>
          <w:color w:val="auto"/>
          <w14:ligatures w14:val="standardContextual"/>
        </w:rPr>
      </w:pPr>
      <w:r w:rsidRPr="00817FAD">
        <w:rPr>
          <w:rFonts w:cs="Arial" w:eastAsiaTheme="minorEastAsia"/>
          <w:b/>
          <w:bCs/>
          <w:color w:val="auto"/>
          <w14:ligatures w14:val="standardContextual"/>
        </w:rPr>
        <w:t>Tabel 1 – Bouwmachines met uitzondering van A2.2, A2,4, A2.7, A2.11 en A2.13 van bijlage 1</w:t>
      </w:r>
    </w:p>
    <w:p w:rsidRPr="00817FAD" w:rsidR="00475E4A" w:rsidP="00475E4A" w:rsidRDefault="00475E4A" w14:paraId="4B092C3F" w14:textId="77777777">
      <w:pPr>
        <w:widowControl w:val="0"/>
        <w:autoSpaceDE w:val="0"/>
        <w:adjustRightInd w:val="0"/>
        <w:spacing w:line="240" w:lineRule="auto"/>
        <w:textAlignment w:val="auto"/>
        <w:rPr>
          <w:rFonts w:ascii="Arial" w:hAnsi="Arial" w:cs="Arial" w:eastAsiaTheme="minorEastAsia"/>
          <w:color w:val="auto"/>
          <w:sz w:val="20"/>
          <w:szCs w:val="20"/>
          <w14:ligatures w14:val="standardContextual"/>
        </w:rPr>
      </w:pPr>
    </w:p>
    <w:tbl>
      <w:tblPr>
        <w:tblW w:w="8430" w:type="dxa"/>
        <w:tblInd w:w="70" w:type="dxa"/>
        <w:tblLayout w:type="fixed"/>
        <w:tblCellMar>
          <w:top w:w="70" w:type="dxa"/>
          <w:left w:w="70" w:type="dxa"/>
          <w:bottom w:w="70" w:type="dxa"/>
          <w:right w:w="70" w:type="dxa"/>
        </w:tblCellMar>
        <w:tblLook w:val="0000" w:firstRow="0" w:lastRow="0" w:firstColumn="0" w:lastColumn="0" w:noHBand="0" w:noVBand="0"/>
      </w:tblPr>
      <w:tblGrid>
        <w:gridCol w:w="1626"/>
        <w:gridCol w:w="1134"/>
        <w:gridCol w:w="1276"/>
        <w:gridCol w:w="1559"/>
        <w:gridCol w:w="1701"/>
        <w:gridCol w:w="1134"/>
      </w:tblGrid>
      <w:tr w:rsidRPr="00817FAD" w:rsidR="00475E4A" w:rsidTr="00666D5F" w14:paraId="196A3284" w14:textId="77777777">
        <w:trPr>
          <w:trHeight w:val="563"/>
        </w:trPr>
        <w:tc>
          <w:tcPr>
            <w:tcW w:w="1626" w:type="dxa"/>
            <w:tcBorders>
              <w:top w:val="single" w:color="auto" w:sz="4" w:space="0"/>
              <w:left w:val="single" w:color="auto" w:sz="4" w:space="0"/>
              <w:bottom w:val="single" w:color="auto" w:sz="4" w:space="0"/>
              <w:right w:val="single" w:color="auto" w:sz="4" w:space="0"/>
            </w:tcBorders>
          </w:tcPr>
          <w:p w:rsidRPr="00817FAD" w:rsidR="00475E4A" w:rsidP="00666D5F" w:rsidRDefault="00475E4A" w14:paraId="39F34DB2" w14:textId="77777777">
            <w:pPr>
              <w:widowControl w:val="0"/>
              <w:autoSpaceDE w:val="0"/>
              <w:adjustRightInd w:val="0"/>
              <w:spacing w:line="240" w:lineRule="auto"/>
              <w:textAlignment w:val="auto"/>
              <w:rPr>
                <w:rFonts w:cs="Arial" w:eastAsiaTheme="minorEastAsia"/>
                <w:color w:val="auto"/>
                <w:sz w:val="16"/>
                <w:szCs w:val="16"/>
                <w14:ligatures w14:val="standardContextual"/>
              </w:rPr>
            </w:pPr>
            <w:r w:rsidRPr="00817FAD">
              <w:rPr>
                <w:rFonts w:cs="Arial" w:eastAsiaTheme="minorEastAsia"/>
                <w:color w:val="auto"/>
                <w:sz w:val="16"/>
                <w:szCs w:val="16"/>
                <w14:ligatures w14:val="standardContextual"/>
              </w:rPr>
              <w:t>Vermogensklasse</w:t>
            </w:r>
            <w:r w:rsidRPr="00817FAD">
              <w:rPr>
                <w:rFonts w:cs="Arial" w:eastAsiaTheme="minorEastAsia"/>
                <w:color w:val="auto"/>
                <w:sz w:val="16"/>
                <w:szCs w:val="16"/>
                <w:vertAlign w:val="superscript"/>
                <w14:ligatures w14:val="standardContextual"/>
              </w:rPr>
              <w:t>1</w:t>
            </w:r>
            <w:r w:rsidRPr="00817FAD">
              <w:rPr>
                <w:rFonts w:cs="Arial" w:eastAsiaTheme="minorEastAsia"/>
                <w:color w:val="auto"/>
                <w:sz w:val="16"/>
                <w:szCs w:val="16"/>
                <w14:ligatures w14:val="standardContextual"/>
              </w:rPr>
              <w:t xml:space="preserve"> </w:t>
            </w:r>
          </w:p>
        </w:tc>
        <w:tc>
          <w:tcPr>
            <w:tcW w:w="1134" w:type="dxa"/>
            <w:tcBorders>
              <w:top w:val="single" w:color="auto" w:sz="4" w:space="0"/>
              <w:left w:val="single" w:color="auto" w:sz="4" w:space="0"/>
              <w:bottom w:val="single" w:color="auto" w:sz="4" w:space="0"/>
              <w:right w:val="single" w:color="auto" w:sz="4" w:space="0"/>
            </w:tcBorders>
          </w:tcPr>
          <w:p w:rsidRPr="00817FAD" w:rsidR="00475E4A" w:rsidP="00666D5F" w:rsidRDefault="00475E4A" w14:paraId="45F87337" w14:textId="77777777">
            <w:pPr>
              <w:widowControl w:val="0"/>
              <w:autoSpaceDE w:val="0"/>
              <w:adjustRightInd w:val="0"/>
              <w:spacing w:line="240" w:lineRule="auto"/>
              <w:textAlignment w:val="auto"/>
              <w:rPr>
                <w:rFonts w:cs="Arial" w:eastAsiaTheme="minorEastAsia"/>
                <w:color w:val="auto"/>
                <w:sz w:val="16"/>
                <w:szCs w:val="16"/>
                <w14:ligatures w14:val="standardContextual"/>
              </w:rPr>
            </w:pPr>
            <w:r w:rsidRPr="00817FAD">
              <w:rPr>
                <w:rFonts w:cs="Arial" w:eastAsiaTheme="minorEastAsia"/>
                <w:color w:val="auto"/>
                <w:sz w:val="16"/>
                <w:szCs w:val="16"/>
                <w14:ligatures w14:val="standardContextual"/>
              </w:rPr>
              <w:t>Mini</w:t>
            </w:r>
            <w:r w:rsidRPr="00817FAD">
              <w:rPr>
                <w:rFonts w:cs="Arial" w:eastAsiaTheme="minorEastAsia"/>
                <w:color w:val="auto"/>
                <w:sz w:val="16"/>
                <w:szCs w:val="16"/>
                <w14:ligatures w14:val="standardContextual"/>
              </w:rPr>
              <w:br/>
              <w:t xml:space="preserve">(8 ≥ kW &lt; 19) </w:t>
            </w:r>
          </w:p>
        </w:tc>
        <w:tc>
          <w:tcPr>
            <w:tcW w:w="1276" w:type="dxa"/>
            <w:tcBorders>
              <w:top w:val="single" w:color="auto" w:sz="4" w:space="0"/>
              <w:left w:val="single" w:color="auto" w:sz="4" w:space="0"/>
              <w:bottom w:val="single" w:color="auto" w:sz="4" w:space="0"/>
              <w:right w:val="single" w:color="auto" w:sz="4" w:space="0"/>
            </w:tcBorders>
          </w:tcPr>
          <w:p w:rsidRPr="00817FAD" w:rsidR="00475E4A" w:rsidP="00666D5F" w:rsidRDefault="00475E4A" w14:paraId="6768DEBE" w14:textId="77777777">
            <w:pPr>
              <w:widowControl w:val="0"/>
              <w:autoSpaceDE w:val="0"/>
              <w:adjustRightInd w:val="0"/>
              <w:spacing w:line="240" w:lineRule="auto"/>
              <w:textAlignment w:val="auto"/>
              <w:rPr>
                <w:rFonts w:cs="Arial" w:eastAsiaTheme="minorEastAsia"/>
                <w:color w:val="auto"/>
                <w:sz w:val="16"/>
                <w:szCs w:val="16"/>
                <w14:ligatures w14:val="standardContextual"/>
              </w:rPr>
            </w:pPr>
            <w:r w:rsidRPr="00817FAD">
              <w:rPr>
                <w:rFonts w:cs="Arial" w:eastAsiaTheme="minorEastAsia"/>
                <w:color w:val="auto"/>
                <w:sz w:val="16"/>
                <w:szCs w:val="16"/>
                <w14:ligatures w14:val="standardContextual"/>
              </w:rPr>
              <w:t>Klein</w:t>
            </w:r>
            <w:r w:rsidRPr="00817FAD">
              <w:rPr>
                <w:rFonts w:cs="Arial" w:eastAsiaTheme="minorEastAsia"/>
                <w:color w:val="auto"/>
                <w:sz w:val="16"/>
                <w:szCs w:val="16"/>
                <w14:ligatures w14:val="standardContextual"/>
              </w:rPr>
              <w:br/>
              <w:t xml:space="preserve">(19 ≥ kW &lt; 56) </w:t>
            </w:r>
          </w:p>
        </w:tc>
        <w:tc>
          <w:tcPr>
            <w:tcW w:w="1559" w:type="dxa"/>
            <w:tcBorders>
              <w:top w:val="single" w:color="auto" w:sz="4" w:space="0"/>
              <w:left w:val="single" w:color="auto" w:sz="4" w:space="0"/>
              <w:bottom w:val="single" w:color="auto" w:sz="4" w:space="0"/>
              <w:right w:val="single" w:color="auto" w:sz="4" w:space="0"/>
            </w:tcBorders>
          </w:tcPr>
          <w:p w:rsidRPr="00817FAD" w:rsidR="00475E4A" w:rsidP="00666D5F" w:rsidRDefault="00475E4A" w14:paraId="3D361017" w14:textId="77777777">
            <w:pPr>
              <w:widowControl w:val="0"/>
              <w:autoSpaceDE w:val="0"/>
              <w:adjustRightInd w:val="0"/>
              <w:spacing w:line="240" w:lineRule="auto"/>
              <w:textAlignment w:val="auto"/>
              <w:rPr>
                <w:rFonts w:cs="Arial" w:eastAsiaTheme="minorEastAsia"/>
                <w:color w:val="auto"/>
                <w:sz w:val="16"/>
                <w:szCs w:val="16"/>
                <w14:ligatures w14:val="standardContextual"/>
              </w:rPr>
            </w:pPr>
            <w:r w:rsidRPr="00817FAD">
              <w:rPr>
                <w:rFonts w:cs="Arial" w:eastAsiaTheme="minorEastAsia"/>
                <w:color w:val="auto"/>
                <w:sz w:val="16"/>
                <w:szCs w:val="16"/>
                <w14:ligatures w14:val="standardContextual"/>
              </w:rPr>
              <w:t>Middelgroot</w:t>
            </w:r>
            <w:r w:rsidRPr="00817FAD">
              <w:rPr>
                <w:rFonts w:cs="Arial" w:eastAsiaTheme="minorEastAsia"/>
                <w:color w:val="auto"/>
                <w:sz w:val="16"/>
                <w:szCs w:val="16"/>
                <w14:ligatures w14:val="standardContextual"/>
              </w:rPr>
              <w:br/>
              <w:t xml:space="preserve">(56 ≥ kW &lt; 130) </w:t>
            </w:r>
          </w:p>
        </w:tc>
        <w:tc>
          <w:tcPr>
            <w:tcW w:w="1701" w:type="dxa"/>
            <w:tcBorders>
              <w:top w:val="single" w:color="auto" w:sz="4" w:space="0"/>
              <w:left w:val="single" w:color="auto" w:sz="4" w:space="0"/>
              <w:bottom w:val="single" w:color="auto" w:sz="4" w:space="0"/>
              <w:right w:val="single" w:color="auto" w:sz="4" w:space="0"/>
            </w:tcBorders>
          </w:tcPr>
          <w:p w:rsidRPr="00817FAD" w:rsidR="00475E4A" w:rsidP="00666D5F" w:rsidRDefault="00475E4A" w14:paraId="5E141FDD" w14:textId="77777777">
            <w:pPr>
              <w:widowControl w:val="0"/>
              <w:autoSpaceDE w:val="0"/>
              <w:adjustRightInd w:val="0"/>
              <w:spacing w:line="240" w:lineRule="auto"/>
              <w:textAlignment w:val="auto"/>
              <w:rPr>
                <w:rFonts w:cs="Arial" w:eastAsiaTheme="minorEastAsia"/>
                <w:color w:val="auto"/>
                <w:sz w:val="16"/>
                <w:szCs w:val="16"/>
                <w14:ligatures w14:val="standardContextual"/>
              </w:rPr>
            </w:pPr>
            <w:r w:rsidRPr="00817FAD">
              <w:rPr>
                <w:rFonts w:cs="Arial" w:eastAsiaTheme="minorEastAsia"/>
                <w:color w:val="auto"/>
                <w:sz w:val="16"/>
                <w:szCs w:val="16"/>
                <w14:ligatures w14:val="standardContextual"/>
              </w:rPr>
              <w:t>Groot</w:t>
            </w:r>
            <w:r w:rsidRPr="00817FAD">
              <w:rPr>
                <w:rFonts w:cs="Arial" w:eastAsiaTheme="minorEastAsia"/>
                <w:color w:val="auto"/>
                <w:sz w:val="16"/>
                <w:szCs w:val="16"/>
                <w14:ligatures w14:val="standardContextual"/>
              </w:rPr>
              <w:br/>
              <w:t xml:space="preserve">(130 ≥ kW &lt; 300) </w:t>
            </w:r>
          </w:p>
        </w:tc>
        <w:tc>
          <w:tcPr>
            <w:tcW w:w="1134" w:type="dxa"/>
            <w:tcBorders>
              <w:top w:val="single" w:color="auto" w:sz="4" w:space="0"/>
              <w:left w:val="single" w:color="auto" w:sz="4" w:space="0"/>
              <w:bottom w:val="single" w:color="auto" w:sz="4" w:space="0"/>
              <w:right w:val="single" w:color="auto" w:sz="4" w:space="0"/>
            </w:tcBorders>
          </w:tcPr>
          <w:p w:rsidRPr="00817FAD" w:rsidR="00475E4A" w:rsidP="00666D5F" w:rsidRDefault="00475E4A" w14:paraId="45175580" w14:textId="77777777">
            <w:pPr>
              <w:widowControl w:val="0"/>
              <w:autoSpaceDE w:val="0"/>
              <w:adjustRightInd w:val="0"/>
              <w:spacing w:line="240" w:lineRule="auto"/>
              <w:textAlignment w:val="auto"/>
              <w:rPr>
                <w:rFonts w:cs="Arial" w:eastAsiaTheme="minorEastAsia"/>
                <w:color w:val="auto"/>
                <w:sz w:val="16"/>
                <w:szCs w:val="16"/>
                <w14:ligatures w14:val="standardContextual"/>
              </w:rPr>
            </w:pPr>
            <w:r w:rsidRPr="00817FAD">
              <w:rPr>
                <w:rFonts w:cs="Arial" w:eastAsiaTheme="minorEastAsia"/>
                <w:color w:val="auto"/>
                <w:sz w:val="16"/>
                <w:szCs w:val="16"/>
                <w14:ligatures w14:val="standardContextual"/>
              </w:rPr>
              <w:t>Zeer groot</w:t>
            </w:r>
          </w:p>
          <w:p w:rsidRPr="00817FAD" w:rsidR="00475E4A" w:rsidP="00666D5F" w:rsidRDefault="00475E4A" w14:paraId="2B37DEC7" w14:textId="77777777">
            <w:pPr>
              <w:widowControl w:val="0"/>
              <w:autoSpaceDE w:val="0"/>
              <w:adjustRightInd w:val="0"/>
              <w:spacing w:line="240" w:lineRule="auto"/>
              <w:textAlignment w:val="auto"/>
              <w:rPr>
                <w:rFonts w:cs="Arial" w:eastAsiaTheme="minorEastAsia"/>
                <w:color w:val="auto"/>
                <w:sz w:val="16"/>
                <w:szCs w:val="16"/>
                <w14:ligatures w14:val="standardContextual"/>
              </w:rPr>
            </w:pPr>
            <w:r w:rsidRPr="00817FAD">
              <w:rPr>
                <w:rFonts w:cs="Arial" w:eastAsiaTheme="minorEastAsia"/>
                <w:color w:val="auto"/>
                <w:sz w:val="16"/>
                <w:szCs w:val="16"/>
                <w14:ligatures w14:val="standardContextual"/>
              </w:rPr>
              <w:t>(≥ 300 kW)</w:t>
            </w:r>
          </w:p>
        </w:tc>
      </w:tr>
      <w:tr w:rsidRPr="00817FAD" w:rsidR="00475E4A" w:rsidTr="00666D5F" w14:paraId="0CC2FB0E" w14:textId="77777777">
        <w:trPr>
          <w:trHeight w:val="575"/>
        </w:trPr>
        <w:tc>
          <w:tcPr>
            <w:tcW w:w="1626" w:type="dxa"/>
            <w:tcBorders>
              <w:top w:val="single" w:color="auto" w:sz="4" w:space="0"/>
              <w:left w:val="single" w:color="auto" w:sz="4" w:space="0"/>
              <w:bottom w:val="single" w:color="auto" w:sz="4" w:space="0"/>
              <w:right w:val="single" w:color="auto" w:sz="4" w:space="0"/>
            </w:tcBorders>
          </w:tcPr>
          <w:p w:rsidRPr="00817FAD" w:rsidR="00475E4A" w:rsidP="00666D5F" w:rsidRDefault="00475E4A" w14:paraId="1A20AA9A" w14:textId="77777777">
            <w:pPr>
              <w:widowControl w:val="0"/>
              <w:autoSpaceDE w:val="0"/>
              <w:adjustRightInd w:val="0"/>
              <w:spacing w:line="240" w:lineRule="auto"/>
              <w:textAlignment w:val="auto"/>
              <w:rPr>
                <w:rFonts w:cs="Arial" w:eastAsiaTheme="minorEastAsia"/>
                <w:color w:val="auto"/>
                <w:sz w:val="16"/>
                <w:szCs w:val="16"/>
                <w14:ligatures w14:val="standardContextual"/>
              </w:rPr>
            </w:pPr>
            <w:r w:rsidRPr="00817FAD">
              <w:rPr>
                <w:rFonts w:cs="Arial" w:eastAsiaTheme="minorEastAsia"/>
                <w:color w:val="auto"/>
                <w:sz w:val="16"/>
                <w:szCs w:val="16"/>
                <w14:ligatures w14:val="standardContextual"/>
              </w:rPr>
              <w:t xml:space="preserve">Bedrag per inzetdag exclusief btw van machine-inzet </w:t>
            </w:r>
          </w:p>
        </w:tc>
        <w:tc>
          <w:tcPr>
            <w:tcW w:w="1134" w:type="dxa"/>
            <w:tcBorders>
              <w:top w:val="single" w:color="auto" w:sz="4" w:space="0"/>
              <w:left w:val="single" w:color="auto" w:sz="4" w:space="0"/>
              <w:bottom w:val="single" w:color="auto" w:sz="4" w:space="0"/>
              <w:right w:val="single" w:color="auto" w:sz="4" w:space="0"/>
            </w:tcBorders>
          </w:tcPr>
          <w:p w:rsidRPr="00817FAD" w:rsidR="00475E4A" w:rsidP="00666D5F" w:rsidRDefault="00475E4A" w14:paraId="723D95B5" w14:textId="77777777">
            <w:pPr>
              <w:widowControl w:val="0"/>
              <w:autoSpaceDE w:val="0"/>
              <w:adjustRightInd w:val="0"/>
              <w:spacing w:line="240" w:lineRule="auto"/>
              <w:textAlignment w:val="auto"/>
              <w:rPr>
                <w:rFonts w:cs="Arial" w:eastAsiaTheme="minorEastAsia"/>
                <w:color w:val="auto"/>
                <w:sz w:val="16"/>
                <w:szCs w:val="16"/>
                <w14:ligatures w14:val="standardContextual"/>
              </w:rPr>
            </w:pPr>
            <w:r w:rsidRPr="00817FAD">
              <w:rPr>
                <w:rFonts w:cs="Arial" w:eastAsiaTheme="minorEastAsia"/>
                <w:color w:val="auto"/>
                <w:sz w:val="16"/>
                <w:szCs w:val="16"/>
                <w14:ligatures w14:val="standardContextual"/>
              </w:rPr>
              <w:t xml:space="preserve">€ 30 </w:t>
            </w:r>
          </w:p>
        </w:tc>
        <w:tc>
          <w:tcPr>
            <w:tcW w:w="1276" w:type="dxa"/>
            <w:tcBorders>
              <w:top w:val="single" w:color="auto" w:sz="4" w:space="0"/>
              <w:left w:val="single" w:color="auto" w:sz="4" w:space="0"/>
              <w:bottom w:val="single" w:color="auto" w:sz="4" w:space="0"/>
              <w:right w:val="single" w:color="auto" w:sz="4" w:space="0"/>
            </w:tcBorders>
          </w:tcPr>
          <w:p w:rsidRPr="00817FAD" w:rsidR="00475E4A" w:rsidP="00666D5F" w:rsidRDefault="00475E4A" w14:paraId="3FA530B2" w14:textId="77777777">
            <w:pPr>
              <w:widowControl w:val="0"/>
              <w:autoSpaceDE w:val="0"/>
              <w:adjustRightInd w:val="0"/>
              <w:spacing w:line="240" w:lineRule="auto"/>
              <w:textAlignment w:val="auto"/>
              <w:rPr>
                <w:rFonts w:cs="Arial" w:eastAsiaTheme="minorEastAsia"/>
                <w:color w:val="auto"/>
                <w:sz w:val="16"/>
                <w:szCs w:val="16"/>
                <w14:ligatures w14:val="standardContextual"/>
              </w:rPr>
            </w:pPr>
            <w:r w:rsidRPr="00817FAD">
              <w:rPr>
                <w:rFonts w:cs="Arial" w:eastAsiaTheme="minorEastAsia"/>
                <w:color w:val="auto"/>
                <w:sz w:val="16"/>
                <w:szCs w:val="16"/>
                <w14:ligatures w14:val="standardContextual"/>
              </w:rPr>
              <w:t xml:space="preserve">€ 54 </w:t>
            </w:r>
          </w:p>
        </w:tc>
        <w:tc>
          <w:tcPr>
            <w:tcW w:w="1559" w:type="dxa"/>
            <w:tcBorders>
              <w:top w:val="single" w:color="auto" w:sz="4" w:space="0"/>
              <w:left w:val="single" w:color="auto" w:sz="4" w:space="0"/>
              <w:bottom w:val="single" w:color="auto" w:sz="4" w:space="0"/>
              <w:right w:val="single" w:color="auto" w:sz="4" w:space="0"/>
            </w:tcBorders>
          </w:tcPr>
          <w:p w:rsidRPr="00817FAD" w:rsidR="00475E4A" w:rsidP="00666D5F" w:rsidRDefault="00475E4A" w14:paraId="3F4A04E4" w14:textId="77777777">
            <w:pPr>
              <w:widowControl w:val="0"/>
              <w:autoSpaceDE w:val="0"/>
              <w:adjustRightInd w:val="0"/>
              <w:spacing w:line="240" w:lineRule="auto"/>
              <w:textAlignment w:val="auto"/>
              <w:rPr>
                <w:rFonts w:cs="Arial" w:eastAsiaTheme="minorEastAsia"/>
                <w:color w:val="auto"/>
                <w:sz w:val="16"/>
                <w:szCs w:val="16"/>
                <w14:ligatures w14:val="standardContextual"/>
              </w:rPr>
            </w:pPr>
            <w:r w:rsidRPr="00817FAD">
              <w:rPr>
                <w:rFonts w:cs="Arial" w:eastAsiaTheme="minorEastAsia"/>
                <w:color w:val="auto"/>
                <w:sz w:val="16"/>
                <w:szCs w:val="16"/>
                <w14:ligatures w14:val="standardContextual"/>
              </w:rPr>
              <w:t xml:space="preserve">€ 270 </w:t>
            </w:r>
          </w:p>
        </w:tc>
        <w:tc>
          <w:tcPr>
            <w:tcW w:w="1701" w:type="dxa"/>
            <w:tcBorders>
              <w:top w:val="single" w:color="auto" w:sz="4" w:space="0"/>
              <w:left w:val="single" w:color="auto" w:sz="4" w:space="0"/>
              <w:bottom w:val="single" w:color="auto" w:sz="4" w:space="0"/>
              <w:right w:val="single" w:color="auto" w:sz="4" w:space="0"/>
            </w:tcBorders>
          </w:tcPr>
          <w:p w:rsidRPr="00817FAD" w:rsidR="00475E4A" w:rsidP="00666D5F" w:rsidRDefault="00475E4A" w14:paraId="15AA6BB5" w14:textId="77777777">
            <w:pPr>
              <w:widowControl w:val="0"/>
              <w:autoSpaceDE w:val="0"/>
              <w:adjustRightInd w:val="0"/>
              <w:spacing w:line="240" w:lineRule="auto"/>
              <w:textAlignment w:val="auto"/>
              <w:rPr>
                <w:rFonts w:cs="Arial" w:eastAsiaTheme="minorEastAsia"/>
                <w:color w:val="auto"/>
                <w:sz w:val="16"/>
                <w:szCs w:val="16"/>
                <w14:ligatures w14:val="standardContextual"/>
              </w:rPr>
            </w:pPr>
            <w:r w:rsidRPr="00817FAD">
              <w:rPr>
                <w:rFonts w:cs="Arial" w:eastAsiaTheme="minorEastAsia"/>
                <w:color w:val="auto"/>
                <w:sz w:val="16"/>
                <w:szCs w:val="16"/>
                <w14:ligatures w14:val="standardContextual"/>
              </w:rPr>
              <w:t xml:space="preserve">€ 540 </w:t>
            </w:r>
          </w:p>
        </w:tc>
        <w:tc>
          <w:tcPr>
            <w:tcW w:w="1134" w:type="dxa"/>
            <w:tcBorders>
              <w:top w:val="single" w:color="auto" w:sz="4" w:space="0"/>
              <w:left w:val="single" w:color="auto" w:sz="4" w:space="0"/>
              <w:bottom w:val="single" w:color="auto" w:sz="4" w:space="0"/>
              <w:right w:val="single" w:color="auto" w:sz="4" w:space="0"/>
            </w:tcBorders>
          </w:tcPr>
          <w:p w:rsidRPr="00817FAD" w:rsidR="00475E4A" w:rsidP="00666D5F" w:rsidRDefault="00475E4A" w14:paraId="45F2C02B" w14:textId="77777777">
            <w:pPr>
              <w:widowControl w:val="0"/>
              <w:autoSpaceDE w:val="0"/>
              <w:adjustRightInd w:val="0"/>
              <w:spacing w:line="240" w:lineRule="auto"/>
              <w:textAlignment w:val="auto"/>
              <w:rPr>
                <w:rFonts w:cs="Arial" w:eastAsiaTheme="minorEastAsia"/>
                <w:color w:val="auto"/>
                <w:sz w:val="16"/>
                <w:szCs w:val="16"/>
                <w14:ligatures w14:val="standardContextual"/>
              </w:rPr>
            </w:pPr>
            <w:r w:rsidRPr="00817FAD">
              <w:rPr>
                <w:rFonts w:cs="Arial" w:eastAsiaTheme="minorEastAsia"/>
                <w:color w:val="auto"/>
                <w:sz w:val="16"/>
                <w:szCs w:val="16"/>
                <w14:ligatures w14:val="standardContextual"/>
              </w:rPr>
              <w:t>€ 660</w:t>
            </w:r>
          </w:p>
        </w:tc>
      </w:tr>
    </w:tbl>
    <w:p w:rsidRPr="00817FAD" w:rsidR="00475E4A" w:rsidP="00475E4A" w:rsidRDefault="00475E4A" w14:paraId="2F25FBDD" w14:textId="77777777">
      <w:pPr>
        <w:widowControl w:val="0"/>
        <w:autoSpaceDE w:val="0"/>
        <w:adjustRightInd w:val="0"/>
        <w:spacing w:line="240" w:lineRule="auto"/>
        <w:textAlignment w:val="auto"/>
        <w:rPr>
          <w:rFonts w:ascii="Arial" w:hAnsi="Arial" w:cs="Arial" w:eastAsiaTheme="minorEastAsia"/>
          <w:color w:val="auto"/>
          <w:sz w:val="20"/>
          <w:szCs w:val="20"/>
          <w14:ligatures w14:val="standardContextual"/>
        </w:rPr>
      </w:pPr>
    </w:p>
    <w:p w:rsidRPr="00817FAD" w:rsidR="00475E4A" w:rsidP="00475E4A" w:rsidRDefault="00475E4A" w14:paraId="5F3C1477" w14:textId="77777777">
      <w:pPr>
        <w:widowControl w:val="0"/>
        <w:autoSpaceDE w:val="0"/>
        <w:adjustRightInd w:val="0"/>
        <w:spacing w:after="240" w:line="240" w:lineRule="auto"/>
        <w:textAlignment w:val="auto"/>
        <w:rPr>
          <w:rFonts w:cs="Arial" w:eastAsiaTheme="minorEastAsia"/>
          <w:color w:val="auto"/>
          <w:sz w:val="16"/>
          <w:szCs w:val="16"/>
          <w14:ligatures w14:val="standardContextual"/>
        </w:rPr>
      </w:pPr>
      <w:r w:rsidRPr="00817FAD">
        <w:rPr>
          <w:rFonts w:ascii="Arial" w:hAnsi="Arial" w:cs="Arial" w:eastAsiaTheme="minorEastAsia"/>
          <w:color w:val="auto"/>
          <w:sz w:val="20"/>
          <w:szCs w:val="20"/>
          <w14:ligatures w14:val="standardContextual"/>
        </w:rPr>
        <w:t xml:space="preserve"> </w:t>
      </w:r>
      <w:r w:rsidRPr="00817FAD">
        <w:rPr>
          <w:rFonts w:ascii="Arial" w:hAnsi="Arial" w:cs="Arial" w:eastAsiaTheme="minorEastAsia"/>
          <w:color w:val="auto"/>
          <w:sz w:val="20"/>
          <w:szCs w:val="20"/>
          <w:vertAlign w:val="superscript"/>
          <w14:ligatures w14:val="standardContextual"/>
        </w:rPr>
        <w:t>1</w:t>
      </w:r>
      <w:r w:rsidRPr="00817FAD">
        <w:rPr>
          <w:rFonts w:ascii="Arial" w:hAnsi="Arial" w:cs="Arial" w:eastAsiaTheme="minorEastAsia"/>
          <w:color w:val="auto"/>
          <w:sz w:val="20"/>
          <w:szCs w:val="20"/>
          <w14:ligatures w14:val="standardContextual"/>
        </w:rPr>
        <w:t xml:space="preserve"> </w:t>
      </w:r>
      <w:r w:rsidRPr="00817FAD">
        <w:rPr>
          <w:rFonts w:cs="Arial" w:eastAsiaTheme="minorEastAsia"/>
          <w:color w:val="auto"/>
          <w:sz w:val="16"/>
          <w:szCs w:val="16"/>
          <w14:ligatures w14:val="standardContextual"/>
        </w:rPr>
        <w:t>Vermogen van de (som van) elektromotoren in bouwmachines of vaartuigen, of van de brandstofcel of waterstofmotor in een aggregaat voor off-grid stroomvoorziening aangedreven door waterstof of waterstofdragers (A2.3), of voor een vliegwiel als vermogensvoorziening (A2.12).</w:t>
      </w:r>
    </w:p>
    <w:p w:rsidRPr="00817FAD" w:rsidR="00475E4A" w:rsidP="00475E4A" w:rsidRDefault="00475E4A" w14:paraId="1EEA0880" w14:textId="77777777">
      <w:pPr>
        <w:widowControl w:val="0"/>
        <w:autoSpaceDE w:val="0"/>
        <w:adjustRightInd w:val="0"/>
        <w:spacing w:line="240" w:lineRule="auto"/>
        <w:textAlignment w:val="auto"/>
        <w:rPr>
          <w:rFonts w:cs="Times New Roman" w:eastAsiaTheme="minorEastAsia"/>
          <w:color w:val="auto"/>
          <w14:ligatures w14:val="standardContextual"/>
        </w:rPr>
      </w:pPr>
    </w:p>
    <w:p w:rsidRPr="00817FAD" w:rsidR="00475E4A" w:rsidP="00475E4A" w:rsidRDefault="00475E4A" w14:paraId="1354E63A" w14:textId="77777777">
      <w:pPr>
        <w:widowControl w:val="0"/>
        <w:autoSpaceDE w:val="0"/>
        <w:adjustRightInd w:val="0"/>
        <w:spacing w:line="240" w:lineRule="auto"/>
        <w:textAlignment w:val="auto"/>
        <w:rPr>
          <w:rFonts w:cs="Arial" w:eastAsiaTheme="minorEastAsia"/>
          <w:color w:val="auto"/>
          <w14:ligatures w14:val="standardContextual"/>
        </w:rPr>
      </w:pPr>
      <w:r w:rsidRPr="00817FAD">
        <w:rPr>
          <w:rFonts w:cs="Arial" w:eastAsiaTheme="minorEastAsia"/>
          <w:b/>
          <w:bCs/>
          <w:color w:val="auto"/>
          <w14:ligatures w14:val="standardContextual"/>
        </w:rPr>
        <w:t>Tabel 2 – Bouwwerktuigen A2.2, A2,4, A2.7, A2.11 van bijlage 1</w:t>
      </w:r>
    </w:p>
    <w:tbl>
      <w:tblPr>
        <w:tblW w:w="0" w:type="auto"/>
        <w:tblInd w:w="70" w:type="dxa"/>
        <w:tblLayout w:type="fixed"/>
        <w:tblCellMar>
          <w:top w:w="70" w:type="dxa"/>
          <w:left w:w="70" w:type="dxa"/>
          <w:bottom w:w="70" w:type="dxa"/>
          <w:right w:w="70" w:type="dxa"/>
        </w:tblCellMar>
        <w:tblLook w:val="0000" w:firstRow="0" w:lastRow="0" w:firstColumn="0" w:lastColumn="0" w:noHBand="0" w:noVBand="0"/>
      </w:tblPr>
      <w:tblGrid>
        <w:gridCol w:w="4665"/>
        <w:gridCol w:w="4665"/>
      </w:tblGrid>
      <w:tr w:rsidRPr="00817FAD" w:rsidR="00475E4A" w:rsidTr="00666D5F" w14:paraId="011099EE" w14:textId="77777777">
        <w:tc>
          <w:tcPr>
            <w:tcW w:w="4665" w:type="dxa"/>
            <w:tcBorders>
              <w:top w:val="single" w:color="auto" w:sz="4" w:space="0"/>
              <w:left w:val="single" w:color="auto" w:sz="4" w:space="0"/>
              <w:bottom w:val="single" w:color="auto" w:sz="4" w:space="0"/>
              <w:right w:val="single" w:color="auto" w:sz="4" w:space="0"/>
            </w:tcBorders>
          </w:tcPr>
          <w:p w:rsidRPr="00817FAD" w:rsidR="00475E4A" w:rsidP="00666D5F" w:rsidRDefault="00475E4A" w14:paraId="3B10FCBD" w14:textId="77777777">
            <w:pPr>
              <w:widowControl w:val="0"/>
              <w:autoSpaceDE w:val="0"/>
              <w:adjustRightInd w:val="0"/>
              <w:spacing w:line="240" w:lineRule="auto"/>
              <w:textAlignment w:val="auto"/>
              <w:rPr>
                <w:rFonts w:cs="Arial" w:eastAsiaTheme="minorEastAsia"/>
                <w:color w:val="auto"/>
                <w:sz w:val="16"/>
                <w:szCs w:val="16"/>
                <w14:ligatures w14:val="standardContextual"/>
              </w:rPr>
            </w:pPr>
            <w:r w:rsidRPr="00817FAD">
              <w:rPr>
                <w:rFonts w:cs="Arial" w:eastAsiaTheme="minorEastAsia"/>
                <w:color w:val="auto"/>
                <w:sz w:val="16"/>
                <w:szCs w:val="16"/>
                <w14:ligatures w14:val="standardContextual"/>
              </w:rPr>
              <w:t xml:space="preserve">Bedrag per kWh nominale batterijcapaciteit per inzetdag exclusief btw </w:t>
            </w:r>
          </w:p>
        </w:tc>
        <w:tc>
          <w:tcPr>
            <w:tcW w:w="4665" w:type="dxa"/>
            <w:tcBorders>
              <w:top w:val="single" w:color="auto" w:sz="4" w:space="0"/>
              <w:left w:val="single" w:color="auto" w:sz="4" w:space="0"/>
              <w:bottom w:val="single" w:color="auto" w:sz="4" w:space="0"/>
              <w:right w:val="single" w:color="auto" w:sz="4" w:space="0"/>
            </w:tcBorders>
          </w:tcPr>
          <w:p w:rsidRPr="00817FAD" w:rsidR="00475E4A" w:rsidP="00666D5F" w:rsidRDefault="00475E4A" w14:paraId="15BCA4F2" w14:textId="77777777">
            <w:pPr>
              <w:widowControl w:val="0"/>
              <w:autoSpaceDE w:val="0"/>
              <w:adjustRightInd w:val="0"/>
              <w:spacing w:line="240" w:lineRule="auto"/>
              <w:textAlignment w:val="auto"/>
              <w:rPr>
                <w:rFonts w:cs="Arial" w:eastAsiaTheme="minorEastAsia"/>
                <w:color w:val="auto"/>
                <w:sz w:val="16"/>
                <w:szCs w:val="16"/>
                <w14:ligatures w14:val="standardContextual"/>
              </w:rPr>
            </w:pPr>
            <w:r w:rsidRPr="00817FAD">
              <w:rPr>
                <w:rFonts w:cs="Arial" w:eastAsiaTheme="minorEastAsia"/>
                <w:color w:val="auto"/>
                <w:sz w:val="16"/>
                <w:szCs w:val="16"/>
                <w14:ligatures w14:val="standardContextual"/>
              </w:rPr>
              <w:t xml:space="preserve">€ 0,40 </w:t>
            </w:r>
          </w:p>
        </w:tc>
      </w:tr>
    </w:tbl>
    <w:p w:rsidRPr="00817FAD" w:rsidR="00475E4A" w:rsidP="00475E4A" w:rsidRDefault="00475E4A" w14:paraId="74EDF3E8" w14:textId="77777777">
      <w:pPr>
        <w:widowControl w:val="0"/>
        <w:autoSpaceDE w:val="0"/>
        <w:adjustRightInd w:val="0"/>
        <w:spacing w:line="240" w:lineRule="auto"/>
        <w:textAlignment w:val="auto"/>
        <w:rPr>
          <w:rFonts w:ascii="Arial" w:hAnsi="Arial" w:cs="Arial" w:eastAsiaTheme="minorEastAsia"/>
          <w:color w:val="auto"/>
          <w:sz w:val="20"/>
          <w:szCs w:val="20"/>
          <w14:ligatures w14:val="standardContextual"/>
        </w:rPr>
      </w:pPr>
    </w:p>
    <w:p w:rsidRPr="00817FAD" w:rsidR="00475E4A" w:rsidP="00475E4A" w:rsidRDefault="00475E4A" w14:paraId="67B3112D" w14:textId="77777777">
      <w:pPr>
        <w:widowControl w:val="0"/>
        <w:autoSpaceDE w:val="0"/>
        <w:adjustRightInd w:val="0"/>
        <w:spacing w:line="240" w:lineRule="auto"/>
        <w:textAlignment w:val="auto"/>
        <w:rPr>
          <w:rFonts w:cs="Arial" w:eastAsiaTheme="minorEastAsia"/>
          <w:color w:val="auto"/>
          <w:sz w:val="16"/>
          <w:szCs w:val="16"/>
          <w14:ligatures w14:val="standardContextual"/>
        </w:rPr>
      </w:pPr>
    </w:p>
    <w:p w:rsidRPr="00817FAD" w:rsidR="00475E4A" w:rsidP="00475E4A" w:rsidRDefault="00475E4A" w14:paraId="5BA6E781" w14:textId="77777777">
      <w:pPr>
        <w:widowControl w:val="0"/>
        <w:autoSpaceDE w:val="0"/>
        <w:adjustRightInd w:val="0"/>
        <w:spacing w:line="240" w:lineRule="auto"/>
        <w:textAlignment w:val="auto"/>
        <w:rPr>
          <w:rFonts w:cs="Arial" w:eastAsiaTheme="minorEastAsia"/>
          <w:color w:val="auto"/>
          <w14:ligatures w14:val="standardContextual"/>
        </w:rPr>
      </w:pPr>
      <w:r w:rsidRPr="00817FAD">
        <w:rPr>
          <w:rFonts w:cs="Arial" w:eastAsiaTheme="minorEastAsia"/>
          <w:b/>
          <w:bCs/>
          <w:color w:val="auto"/>
          <w14:ligatures w14:val="standardContextual"/>
        </w:rPr>
        <w:t>Tabel 3 – Bouwwerktuig A2.13 van bijlage 1</w:t>
      </w:r>
    </w:p>
    <w:tbl>
      <w:tblPr>
        <w:tblW w:w="0" w:type="auto"/>
        <w:tblInd w:w="70" w:type="dxa"/>
        <w:tblLayout w:type="fixed"/>
        <w:tblCellMar>
          <w:top w:w="70" w:type="dxa"/>
          <w:left w:w="70" w:type="dxa"/>
          <w:bottom w:w="70" w:type="dxa"/>
          <w:right w:w="70" w:type="dxa"/>
        </w:tblCellMar>
        <w:tblLook w:val="0000" w:firstRow="0" w:lastRow="0" w:firstColumn="0" w:lastColumn="0" w:noHBand="0" w:noVBand="0"/>
      </w:tblPr>
      <w:tblGrid>
        <w:gridCol w:w="1971"/>
        <w:gridCol w:w="1227"/>
        <w:gridCol w:w="1227"/>
        <w:gridCol w:w="1227"/>
        <w:gridCol w:w="1227"/>
        <w:gridCol w:w="1227"/>
        <w:gridCol w:w="1227"/>
      </w:tblGrid>
      <w:tr w:rsidRPr="00817FAD" w:rsidR="00475E4A" w:rsidTr="00666D5F" w14:paraId="3C3346E3" w14:textId="77777777">
        <w:tc>
          <w:tcPr>
            <w:tcW w:w="1971" w:type="dxa"/>
            <w:tcBorders>
              <w:top w:val="single" w:color="auto" w:sz="4" w:space="0"/>
              <w:left w:val="single" w:color="auto" w:sz="4" w:space="0"/>
              <w:bottom w:val="single" w:color="auto" w:sz="4" w:space="0"/>
              <w:right w:val="single" w:color="auto" w:sz="4" w:space="0"/>
            </w:tcBorders>
          </w:tcPr>
          <w:p w:rsidRPr="00817FAD" w:rsidR="00475E4A" w:rsidP="00666D5F" w:rsidRDefault="00475E4A" w14:paraId="2D0C18E1" w14:textId="77777777">
            <w:pPr>
              <w:widowControl w:val="0"/>
              <w:autoSpaceDE w:val="0"/>
              <w:adjustRightInd w:val="0"/>
              <w:spacing w:line="240" w:lineRule="auto"/>
              <w:textAlignment w:val="auto"/>
              <w:rPr>
                <w:rFonts w:cs="Arial" w:eastAsiaTheme="minorEastAsia"/>
                <w:color w:val="auto"/>
                <w:sz w:val="16"/>
                <w:szCs w:val="16"/>
                <w14:ligatures w14:val="standardContextual"/>
              </w:rPr>
            </w:pPr>
            <w:r w:rsidRPr="00817FAD">
              <w:rPr>
                <w:rFonts w:cs="Arial" w:eastAsiaTheme="minorEastAsia"/>
                <w:color w:val="auto"/>
                <w:sz w:val="16"/>
                <w:szCs w:val="16"/>
                <w14:ligatures w14:val="standardContextual"/>
              </w:rPr>
              <w:t>Vermogen van DC laadstation</w:t>
            </w:r>
            <w:r w:rsidRPr="00817FAD">
              <w:rPr>
                <w:rFonts w:cs="Arial" w:eastAsiaTheme="minorEastAsia"/>
                <w:color w:val="auto"/>
                <w:sz w:val="16"/>
                <w:szCs w:val="16"/>
                <w:vertAlign w:val="superscript"/>
                <w14:ligatures w14:val="standardContextual"/>
              </w:rPr>
              <w:t xml:space="preserve">1 </w:t>
            </w:r>
            <w:r w:rsidRPr="00817FAD">
              <w:rPr>
                <w:rFonts w:cs="Arial" w:eastAsiaTheme="minorEastAsia"/>
                <w:color w:val="auto"/>
                <w:sz w:val="16"/>
                <w:szCs w:val="16"/>
                <w14:ligatures w14:val="standardContextual"/>
              </w:rPr>
              <w:t>of AC laadstation</w:t>
            </w:r>
            <w:r w:rsidRPr="00817FAD">
              <w:rPr>
                <w:rFonts w:cs="Arial" w:eastAsiaTheme="minorEastAsia"/>
                <w:color w:val="auto"/>
                <w:sz w:val="16"/>
                <w:szCs w:val="16"/>
                <w:vertAlign w:val="superscript"/>
                <w14:ligatures w14:val="standardContextual"/>
              </w:rPr>
              <w:t>2</w:t>
            </w:r>
            <w:r w:rsidRPr="00817FAD">
              <w:rPr>
                <w:rFonts w:cs="Arial" w:eastAsiaTheme="minorEastAsia"/>
                <w:color w:val="auto"/>
                <w:sz w:val="16"/>
                <w:szCs w:val="16"/>
                <w14:ligatures w14:val="standardContextual"/>
              </w:rPr>
              <w:t xml:space="preserve"> </w:t>
            </w:r>
          </w:p>
        </w:tc>
        <w:tc>
          <w:tcPr>
            <w:tcW w:w="1227" w:type="dxa"/>
            <w:tcBorders>
              <w:top w:val="single" w:color="auto" w:sz="4" w:space="0"/>
              <w:left w:val="single" w:color="auto" w:sz="4" w:space="0"/>
              <w:bottom w:val="single" w:color="auto" w:sz="4" w:space="0"/>
              <w:right w:val="single" w:color="auto" w:sz="4" w:space="0"/>
            </w:tcBorders>
          </w:tcPr>
          <w:p w:rsidRPr="00817FAD" w:rsidR="00475E4A" w:rsidP="00666D5F" w:rsidRDefault="00475E4A" w14:paraId="4423417C" w14:textId="77777777">
            <w:pPr>
              <w:widowControl w:val="0"/>
              <w:autoSpaceDE w:val="0"/>
              <w:adjustRightInd w:val="0"/>
              <w:spacing w:line="240" w:lineRule="auto"/>
              <w:textAlignment w:val="auto"/>
              <w:rPr>
                <w:rFonts w:cs="Arial" w:eastAsiaTheme="minorEastAsia"/>
                <w:color w:val="auto"/>
                <w:sz w:val="16"/>
                <w:szCs w:val="16"/>
                <w14:ligatures w14:val="standardContextual"/>
              </w:rPr>
            </w:pPr>
            <w:r w:rsidRPr="00817FAD">
              <w:rPr>
                <w:rFonts w:cs="Arial" w:eastAsiaTheme="minorEastAsia"/>
                <w:color w:val="auto"/>
                <w:sz w:val="16"/>
                <w:szCs w:val="16"/>
                <w14:ligatures w14:val="standardContextual"/>
              </w:rPr>
              <w:t xml:space="preserve">20 ≥ kW &lt; 50 </w:t>
            </w:r>
          </w:p>
        </w:tc>
        <w:tc>
          <w:tcPr>
            <w:tcW w:w="1227" w:type="dxa"/>
            <w:tcBorders>
              <w:top w:val="single" w:color="auto" w:sz="4" w:space="0"/>
              <w:left w:val="single" w:color="auto" w:sz="4" w:space="0"/>
              <w:bottom w:val="single" w:color="auto" w:sz="4" w:space="0"/>
              <w:right w:val="single" w:color="auto" w:sz="4" w:space="0"/>
            </w:tcBorders>
          </w:tcPr>
          <w:p w:rsidRPr="00817FAD" w:rsidR="00475E4A" w:rsidP="00666D5F" w:rsidRDefault="00475E4A" w14:paraId="17941268" w14:textId="77777777">
            <w:pPr>
              <w:widowControl w:val="0"/>
              <w:autoSpaceDE w:val="0"/>
              <w:adjustRightInd w:val="0"/>
              <w:spacing w:line="240" w:lineRule="auto"/>
              <w:textAlignment w:val="auto"/>
              <w:rPr>
                <w:rFonts w:cs="Arial" w:eastAsiaTheme="minorEastAsia"/>
                <w:color w:val="auto"/>
                <w:sz w:val="16"/>
                <w:szCs w:val="16"/>
                <w14:ligatures w14:val="standardContextual"/>
              </w:rPr>
            </w:pPr>
            <w:r w:rsidRPr="00817FAD">
              <w:rPr>
                <w:rFonts w:cs="Arial" w:eastAsiaTheme="minorEastAsia"/>
                <w:color w:val="auto"/>
                <w:sz w:val="16"/>
                <w:szCs w:val="16"/>
                <w14:ligatures w14:val="standardContextual"/>
              </w:rPr>
              <w:t xml:space="preserve">50 ≥ kW &lt; 150 </w:t>
            </w:r>
          </w:p>
        </w:tc>
        <w:tc>
          <w:tcPr>
            <w:tcW w:w="1227" w:type="dxa"/>
            <w:tcBorders>
              <w:top w:val="single" w:color="auto" w:sz="4" w:space="0"/>
              <w:left w:val="single" w:color="auto" w:sz="4" w:space="0"/>
              <w:bottom w:val="single" w:color="auto" w:sz="4" w:space="0"/>
              <w:right w:val="single" w:color="auto" w:sz="4" w:space="0"/>
            </w:tcBorders>
          </w:tcPr>
          <w:p w:rsidRPr="00817FAD" w:rsidR="00475E4A" w:rsidP="00666D5F" w:rsidRDefault="00475E4A" w14:paraId="2692E9E3" w14:textId="77777777">
            <w:pPr>
              <w:widowControl w:val="0"/>
              <w:autoSpaceDE w:val="0"/>
              <w:adjustRightInd w:val="0"/>
              <w:spacing w:line="240" w:lineRule="auto"/>
              <w:textAlignment w:val="auto"/>
              <w:rPr>
                <w:rFonts w:cs="Arial" w:eastAsiaTheme="minorEastAsia"/>
                <w:color w:val="auto"/>
                <w:sz w:val="16"/>
                <w:szCs w:val="16"/>
                <w14:ligatures w14:val="standardContextual"/>
              </w:rPr>
            </w:pPr>
            <w:r w:rsidRPr="00817FAD">
              <w:rPr>
                <w:rFonts w:cs="Arial" w:eastAsiaTheme="minorEastAsia"/>
                <w:color w:val="auto"/>
                <w:sz w:val="16"/>
                <w:szCs w:val="16"/>
                <w14:ligatures w14:val="standardContextual"/>
              </w:rPr>
              <w:t xml:space="preserve">150 ≥ kW &lt; 225 </w:t>
            </w:r>
          </w:p>
        </w:tc>
        <w:tc>
          <w:tcPr>
            <w:tcW w:w="1227" w:type="dxa"/>
            <w:tcBorders>
              <w:top w:val="single" w:color="auto" w:sz="4" w:space="0"/>
              <w:left w:val="single" w:color="auto" w:sz="4" w:space="0"/>
              <w:bottom w:val="single" w:color="auto" w:sz="4" w:space="0"/>
              <w:right w:val="single" w:color="auto" w:sz="4" w:space="0"/>
            </w:tcBorders>
          </w:tcPr>
          <w:p w:rsidRPr="00817FAD" w:rsidR="00475E4A" w:rsidP="00666D5F" w:rsidRDefault="00475E4A" w14:paraId="6D237597" w14:textId="77777777">
            <w:pPr>
              <w:widowControl w:val="0"/>
              <w:autoSpaceDE w:val="0"/>
              <w:adjustRightInd w:val="0"/>
              <w:spacing w:line="240" w:lineRule="auto"/>
              <w:textAlignment w:val="auto"/>
              <w:rPr>
                <w:rFonts w:cs="Arial" w:eastAsiaTheme="minorEastAsia"/>
                <w:color w:val="auto"/>
                <w:sz w:val="16"/>
                <w:szCs w:val="16"/>
                <w14:ligatures w14:val="standardContextual"/>
              </w:rPr>
            </w:pPr>
            <w:r w:rsidRPr="00817FAD">
              <w:rPr>
                <w:rFonts w:cs="Arial" w:eastAsiaTheme="minorEastAsia"/>
                <w:color w:val="auto"/>
                <w:sz w:val="16"/>
                <w:szCs w:val="16"/>
                <w14:ligatures w14:val="standardContextual"/>
              </w:rPr>
              <w:t xml:space="preserve">225 ≥ kW &lt; 350 </w:t>
            </w:r>
          </w:p>
        </w:tc>
        <w:tc>
          <w:tcPr>
            <w:tcW w:w="1227" w:type="dxa"/>
            <w:tcBorders>
              <w:top w:val="single" w:color="auto" w:sz="4" w:space="0"/>
              <w:left w:val="single" w:color="auto" w:sz="4" w:space="0"/>
              <w:bottom w:val="single" w:color="auto" w:sz="4" w:space="0"/>
              <w:right w:val="single" w:color="auto" w:sz="4" w:space="0"/>
            </w:tcBorders>
          </w:tcPr>
          <w:p w:rsidRPr="00817FAD" w:rsidR="00475E4A" w:rsidP="00666D5F" w:rsidRDefault="00475E4A" w14:paraId="046310AE" w14:textId="77777777">
            <w:pPr>
              <w:widowControl w:val="0"/>
              <w:autoSpaceDE w:val="0"/>
              <w:adjustRightInd w:val="0"/>
              <w:spacing w:line="240" w:lineRule="auto"/>
              <w:textAlignment w:val="auto"/>
              <w:rPr>
                <w:rFonts w:cs="Arial" w:eastAsiaTheme="minorEastAsia"/>
                <w:color w:val="auto"/>
                <w:sz w:val="16"/>
                <w:szCs w:val="16"/>
                <w14:ligatures w14:val="standardContextual"/>
              </w:rPr>
            </w:pPr>
            <w:r w:rsidRPr="00817FAD">
              <w:rPr>
                <w:rFonts w:cs="Arial" w:eastAsiaTheme="minorEastAsia"/>
                <w:color w:val="auto"/>
                <w:sz w:val="16"/>
                <w:szCs w:val="16"/>
                <w14:ligatures w14:val="standardContextual"/>
              </w:rPr>
              <w:t xml:space="preserve">350 ≥ kW &lt; 600 </w:t>
            </w:r>
          </w:p>
        </w:tc>
        <w:tc>
          <w:tcPr>
            <w:tcW w:w="1227" w:type="dxa"/>
            <w:tcBorders>
              <w:top w:val="single" w:color="auto" w:sz="4" w:space="0"/>
              <w:left w:val="single" w:color="auto" w:sz="4" w:space="0"/>
              <w:bottom w:val="single" w:color="auto" w:sz="4" w:space="0"/>
              <w:right w:val="single" w:color="auto" w:sz="4" w:space="0"/>
            </w:tcBorders>
          </w:tcPr>
          <w:p w:rsidRPr="00817FAD" w:rsidR="00475E4A" w:rsidP="00666D5F" w:rsidRDefault="00475E4A" w14:paraId="67838933" w14:textId="77777777">
            <w:pPr>
              <w:widowControl w:val="0"/>
              <w:autoSpaceDE w:val="0"/>
              <w:adjustRightInd w:val="0"/>
              <w:spacing w:line="240" w:lineRule="auto"/>
              <w:textAlignment w:val="auto"/>
              <w:rPr>
                <w:rFonts w:cs="Arial" w:eastAsiaTheme="minorEastAsia"/>
                <w:color w:val="auto"/>
                <w:sz w:val="16"/>
                <w:szCs w:val="16"/>
                <w14:ligatures w14:val="standardContextual"/>
              </w:rPr>
            </w:pPr>
            <w:r w:rsidRPr="00817FAD">
              <w:rPr>
                <w:rFonts w:cs="Arial" w:eastAsiaTheme="minorEastAsia"/>
                <w:color w:val="auto"/>
                <w:sz w:val="16"/>
                <w:szCs w:val="16"/>
                <w14:ligatures w14:val="standardContextual"/>
              </w:rPr>
              <w:t xml:space="preserve">≥ 600 kW </w:t>
            </w:r>
          </w:p>
        </w:tc>
      </w:tr>
      <w:tr w:rsidRPr="00817FAD" w:rsidR="00475E4A" w:rsidTr="00666D5F" w14:paraId="51DBA30A" w14:textId="77777777">
        <w:tc>
          <w:tcPr>
            <w:tcW w:w="1971" w:type="dxa"/>
            <w:tcBorders>
              <w:top w:val="single" w:color="auto" w:sz="4" w:space="0"/>
              <w:left w:val="single" w:color="auto" w:sz="4" w:space="0"/>
              <w:bottom w:val="single" w:color="auto" w:sz="4" w:space="0"/>
              <w:right w:val="single" w:color="auto" w:sz="4" w:space="0"/>
            </w:tcBorders>
          </w:tcPr>
          <w:p w:rsidRPr="00817FAD" w:rsidR="00475E4A" w:rsidP="00666D5F" w:rsidRDefault="00475E4A" w14:paraId="163358BF" w14:textId="77777777">
            <w:pPr>
              <w:widowControl w:val="0"/>
              <w:autoSpaceDE w:val="0"/>
              <w:adjustRightInd w:val="0"/>
              <w:spacing w:line="240" w:lineRule="auto"/>
              <w:textAlignment w:val="auto"/>
              <w:rPr>
                <w:rFonts w:cs="Arial" w:eastAsiaTheme="minorEastAsia"/>
                <w:color w:val="auto"/>
                <w:sz w:val="16"/>
                <w:szCs w:val="16"/>
                <w14:ligatures w14:val="standardContextual"/>
              </w:rPr>
            </w:pPr>
            <w:r w:rsidRPr="00817FAD">
              <w:rPr>
                <w:rFonts w:cs="Arial" w:eastAsiaTheme="minorEastAsia"/>
                <w:color w:val="auto"/>
                <w:sz w:val="16"/>
                <w:szCs w:val="16"/>
                <w14:ligatures w14:val="standardContextual"/>
              </w:rPr>
              <w:t>Bedrag per inzetdag</w:t>
            </w:r>
            <w:r w:rsidRPr="00817FAD">
              <w:rPr>
                <w:rFonts w:cs="Arial" w:eastAsiaTheme="minorEastAsia"/>
                <w:color w:val="auto"/>
                <w:sz w:val="16"/>
                <w:szCs w:val="16"/>
                <w:vertAlign w:val="superscript"/>
                <w14:ligatures w14:val="standardContextual"/>
              </w:rPr>
              <w:t>3</w:t>
            </w:r>
            <w:r w:rsidRPr="00817FAD">
              <w:rPr>
                <w:rFonts w:cs="Arial" w:eastAsiaTheme="minorEastAsia"/>
                <w:color w:val="auto"/>
                <w:sz w:val="16"/>
                <w:szCs w:val="16"/>
                <w14:ligatures w14:val="standardContextual"/>
              </w:rPr>
              <w:t xml:space="preserve"> exclusief btw van laadstationinzet </w:t>
            </w:r>
          </w:p>
        </w:tc>
        <w:tc>
          <w:tcPr>
            <w:tcW w:w="1227" w:type="dxa"/>
            <w:tcBorders>
              <w:top w:val="single" w:color="auto" w:sz="4" w:space="0"/>
              <w:left w:val="single" w:color="auto" w:sz="4" w:space="0"/>
              <w:bottom w:val="single" w:color="auto" w:sz="4" w:space="0"/>
              <w:right w:val="single" w:color="auto" w:sz="4" w:space="0"/>
            </w:tcBorders>
          </w:tcPr>
          <w:p w:rsidRPr="00817FAD" w:rsidR="00475E4A" w:rsidP="00666D5F" w:rsidRDefault="00475E4A" w14:paraId="4AE0488A" w14:textId="77777777">
            <w:pPr>
              <w:widowControl w:val="0"/>
              <w:autoSpaceDE w:val="0"/>
              <w:adjustRightInd w:val="0"/>
              <w:spacing w:line="240" w:lineRule="auto"/>
              <w:textAlignment w:val="auto"/>
              <w:rPr>
                <w:rFonts w:cs="Arial" w:eastAsiaTheme="minorEastAsia"/>
                <w:color w:val="auto"/>
                <w:sz w:val="16"/>
                <w:szCs w:val="16"/>
                <w14:ligatures w14:val="standardContextual"/>
              </w:rPr>
            </w:pPr>
            <w:r w:rsidRPr="00817FAD">
              <w:rPr>
                <w:rFonts w:cs="Arial" w:eastAsiaTheme="minorEastAsia"/>
                <w:color w:val="auto"/>
                <w:sz w:val="16"/>
                <w:szCs w:val="16"/>
                <w14:ligatures w14:val="standardContextual"/>
              </w:rPr>
              <w:t xml:space="preserve">€ 13 </w:t>
            </w:r>
          </w:p>
        </w:tc>
        <w:tc>
          <w:tcPr>
            <w:tcW w:w="1227" w:type="dxa"/>
            <w:tcBorders>
              <w:top w:val="single" w:color="auto" w:sz="4" w:space="0"/>
              <w:left w:val="single" w:color="auto" w:sz="4" w:space="0"/>
              <w:bottom w:val="single" w:color="auto" w:sz="4" w:space="0"/>
              <w:right w:val="single" w:color="auto" w:sz="4" w:space="0"/>
            </w:tcBorders>
          </w:tcPr>
          <w:p w:rsidRPr="00817FAD" w:rsidR="00475E4A" w:rsidP="00666D5F" w:rsidRDefault="00475E4A" w14:paraId="194BB5F8" w14:textId="77777777">
            <w:pPr>
              <w:widowControl w:val="0"/>
              <w:autoSpaceDE w:val="0"/>
              <w:adjustRightInd w:val="0"/>
              <w:spacing w:line="240" w:lineRule="auto"/>
              <w:textAlignment w:val="auto"/>
              <w:rPr>
                <w:rFonts w:cs="Arial" w:eastAsiaTheme="minorEastAsia"/>
                <w:color w:val="auto"/>
                <w:sz w:val="16"/>
                <w:szCs w:val="16"/>
                <w14:ligatures w14:val="standardContextual"/>
              </w:rPr>
            </w:pPr>
            <w:r w:rsidRPr="00817FAD">
              <w:rPr>
                <w:rFonts w:cs="Arial" w:eastAsiaTheme="minorEastAsia"/>
                <w:color w:val="auto"/>
                <w:sz w:val="16"/>
                <w:szCs w:val="16"/>
                <w14:ligatures w14:val="standardContextual"/>
              </w:rPr>
              <w:t xml:space="preserve">€ 32 </w:t>
            </w:r>
          </w:p>
        </w:tc>
        <w:tc>
          <w:tcPr>
            <w:tcW w:w="1227" w:type="dxa"/>
            <w:tcBorders>
              <w:top w:val="single" w:color="auto" w:sz="4" w:space="0"/>
              <w:left w:val="single" w:color="auto" w:sz="4" w:space="0"/>
              <w:bottom w:val="single" w:color="auto" w:sz="4" w:space="0"/>
              <w:right w:val="single" w:color="auto" w:sz="4" w:space="0"/>
            </w:tcBorders>
          </w:tcPr>
          <w:p w:rsidRPr="00817FAD" w:rsidR="00475E4A" w:rsidP="00666D5F" w:rsidRDefault="00475E4A" w14:paraId="0890AAC9" w14:textId="77777777">
            <w:pPr>
              <w:widowControl w:val="0"/>
              <w:autoSpaceDE w:val="0"/>
              <w:adjustRightInd w:val="0"/>
              <w:spacing w:line="240" w:lineRule="auto"/>
              <w:textAlignment w:val="auto"/>
              <w:rPr>
                <w:rFonts w:cs="Arial" w:eastAsiaTheme="minorEastAsia"/>
                <w:color w:val="auto"/>
                <w:sz w:val="16"/>
                <w:szCs w:val="16"/>
                <w14:ligatures w14:val="standardContextual"/>
              </w:rPr>
            </w:pPr>
            <w:r w:rsidRPr="00817FAD">
              <w:rPr>
                <w:rFonts w:cs="Arial" w:eastAsiaTheme="minorEastAsia"/>
                <w:color w:val="auto"/>
                <w:sz w:val="16"/>
                <w:szCs w:val="16"/>
                <w14:ligatures w14:val="standardContextual"/>
              </w:rPr>
              <w:t xml:space="preserve">€ 93 </w:t>
            </w:r>
          </w:p>
        </w:tc>
        <w:tc>
          <w:tcPr>
            <w:tcW w:w="1227" w:type="dxa"/>
            <w:tcBorders>
              <w:top w:val="single" w:color="auto" w:sz="4" w:space="0"/>
              <w:left w:val="single" w:color="auto" w:sz="4" w:space="0"/>
              <w:bottom w:val="single" w:color="auto" w:sz="4" w:space="0"/>
              <w:right w:val="single" w:color="auto" w:sz="4" w:space="0"/>
            </w:tcBorders>
          </w:tcPr>
          <w:p w:rsidRPr="00817FAD" w:rsidR="00475E4A" w:rsidP="00666D5F" w:rsidRDefault="00475E4A" w14:paraId="30F4A3A2" w14:textId="77777777">
            <w:pPr>
              <w:widowControl w:val="0"/>
              <w:autoSpaceDE w:val="0"/>
              <w:adjustRightInd w:val="0"/>
              <w:spacing w:line="240" w:lineRule="auto"/>
              <w:textAlignment w:val="auto"/>
              <w:rPr>
                <w:rFonts w:cs="Arial" w:eastAsiaTheme="minorEastAsia"/>
                <w:color w:val="auto"/>
                <w:sz w:val="16"/>
                <w:szCs w:val="16"/>
                <w14:ligatures w14:val="standardContextual"/>
              </w:rPr>
            </w:pPr>
            <w:r w:rsidRPr="00817FAD">
              <w:rPr>
                <w:rFonts w:cs="Arial" w:eastAsiaTheme="minorEastAsia"/>
                <w:color w:val="auto"/>
                <w:sz w:val="16"/>
                <w:szCs w:val="16"/>
                <w14:ligatures w14:val="standardContextual"/>
              </w:rPr>
              <w:t xml:space="preserve">€ 138 </w:t>
            </w:r>
          </w:p>
        </w:tc>
        <w:tc>
          <w:tcPr>
            <w:tcW w:w="1227" w:type="dxa"/>
            <w:tcBorders>
              <w:top w:val="single" w:color="auto" w:sz="4" w:space="0"/>
              <w:left w:val="single" w:color="auto" w:sz="4" w:space="0"/>
              <w:bottom w:val="single" w:color="auto" w:sz="4" w:space="0"/>
              <w:right w:val="single" w:color="auto" w:sz="4" w:space="0"/>
            </w:tcBorders>
          </w:tcPr>
          <w:p w:rsidRPr="00817FAD" w:rsidR="00475E4A" w:rsidP="00666D5F" w:rsidRDefault="00475E4A" w14:paraId="343643B0" w14:textId="77777777">
            <w:pPr>
              <w:widowControl w:val="0"/>
              <w:autoSpaceDE w:val="0"/>
              <w:adjustRightInd w:val="0"/>
              <w:spacing w:line="240" w:lineRule="auto"/>
              <w:textAlignment w:val="auto"/>
              <w:rPr>
                <w:rFonts w:cs="Arial" w:eastAsiaTheme="minorEastAsia"/>
                <w:color w:val="auto"/>
                <w:sz w:val="16"/>
                <w:szCs w:val="16"/>
                <w14:ligatures w14:val="standardContextual"/>
              </w:rPr>
            </w:pPr>
            <w:r w:rsidRPr="00817FAD">
              <w:rPr>
                <w:rFonts w:cs="Arial" w:eastAsiaTheme="minorEastAsia"/>
                <w:color w:val="auto"/>
                <w:sz w:val="16"/>
                <w:szCs w:val="16"/>
                <w14:ligatures w14:val="standardContextual"/>
              </w:rPr>
              <w:t xml:space="preserve">€ 208 </w:t>
            </w:r>
          </w:p>
        </w:tc>
        <w:tc>
          <w:tcPr>
            <w:tcW w:w="1227" w:type="dxa"/>
            <w:tcBorders>
              <w:top w:val="single" w:color="auto" w:sz="4" w:space="0"/>
              <w:left w:val="single" w:color="auto" w:sz="4" w:space="0"/>
              <w:bottom w:val="single" w:color="auto" w:sz="4" w:space="0"/>
              <w:right w:val="single" w:color="auto" w:sz="4" w:space="0"/>
            </w:tcBorders>
          </w:tcPr>
          <w:p w:rsidRPr="00817FAD" w:rsidR="00475E4A" w:rsidP="00666D5F" w:rsidRDefault="00475E4A" w14:paraId="20CF7581" w14:textId="77777777">
            <w:pPr>
              <w:widowControl w:val="0"/>
              <w:autoSpaceDE w:val="0"/>
              <w:adjustRightInd w:val="0"/>
              <w:spacing w:line="240" w:lineRule="auto"/>
              <w:textAlignment w:val="auto"/>
              <w:rPr>
                <w:rFonts w:cs="Arial" w:eastAsiaTheme="minorEastAsia"/>
                <w:color w:val="auto"/>
                <w:sz w:val="16"/>
                <w:szCs w:val="16"/>
                <w14:ligatures w14:val="standardContextual"/>
              </w:rPr>
            </w:pPr>
            <w:r w:rsidRPr="00817FAD">
              <w:rPr>
                <w:rFonts w:cs="Arial" w:eastAsiaTheme="minorEastAsia"/>
                <w:color w:val="auto"/>
                <w:sz w:val="16"/>
                <w:szCs w:val="16"/>
                <w14:ligatures w14:val="standardContextual"/>
              </w:rPr>
              <w:t xml:space="preserve">€ 352 </w:t>
            </w:r>
          </w:p>
        </w:tc>
      </w:tr>
    </w:tbl>
    <w:p w:rsidRPr="00817FAD" w:rsidR="00475E4A" w:rsidP="00475E4A" w:rsidRDefault="00475E4A" w14:paraId="720A93EA" w14:textId="77777777">
      <w:pPr>
        <w:widowControl w:val="0"/>
        <w:autoSpaceDE w:val="0"/>
        <w:adjustRightInd w:val="0"/>
        <w:spacing w:line="240" w:lineRule="auto"/>
        <w:textAlignment w:val="auto"/>
        <w:rPr>
          <w:rFonts w:ascii="Arial" w:hAnsi="Arial" w:cs="Arial" w:eastAsiaTheme="minorEastAsia"/>
          <w:color w:val="auto"/>
          <w:sz w:val="20"/>
          <w:szCs w:val="20"/>
          <w14:ligatures w14:val="standardContextual"/>
        </w:rPr>
      </w:pPr>
    </w:p>
    <w:p w:rsidRPr="00817FAD" w:rsidR="00475E4A" w:rsidP="00475E4A" w:rsidRDefault="00475E4A" w14:paraId="1AD97DAF" w14:textId="77777777">
      <w:pPr>
        <w:widowControl w:val="0"/>
        <w:autoSpaceDE w:val="0"/>
        <w:adjustRightInd w:val="0"/>
        <w:spacing w:line="240" w:lineRule="auto"/>
        <w:textAlignment w:val="auto"/>
        <w:rPr>
          <w:rFonts w:cs="Arial" w:eastAsiaTheme="minorEastAsia"/>
          <w:color w:val="auto"/>
          <w:sz w:val="16"/>
          <w:szCs w:val="16"/>
          <w14:ligatures w14:val="standardContextual"/>
        </w:rPr>
      </w:pPr>
      <w:r w:rsidRPr="00817FAD">
        <w:rPr>
          <w:rFonts w:cs="Arial" w:eastAsiaTheme="minorEastAsia"/>
          <w:color w:val="auto"/>
          <w:sz w:val="16"/>
          <w:szCs w:val="16"/>
          <w14:ligatures w14:val="standardContextual"/>
        </w:rPr>
        <w:t xml:space="preserve"> </w:t>
      </w:r>
      <w:r w:rsidRPr="00817FAD">
        <w:rPr>
          <w:rFonts w:cs="Arial" w:eastAsiaTheme="minorEastAsia"/>
          <w:color w:val="auto"/>
          <w:sz w:val="16"/>
          <w:szCs w:val="16"/>
          <w:vertAlign w:val="superscript"/>
          <w14:ligatures w14:val="standardContextual"/>
        </w:rPr>
        <w:t>1</w:t>
      </w:r>
      <w:r w:rsidRPr="00817FAD">
        <w:rPr>
          <w:rFonts w:cs="Arial" w:eastAsiaTheme="minorEastAsia"/>
          <w:color w:val="auto"/>
          <w:sz w:val="16"/>
          <w:szCs w:val="16"/>
          <w14:ligatures w14:val="standardContextual"/>
        </w:rPr>
        <w:t xml:space="preserve"> De aanvraag kan worden gedaan voor DC laadstations met een vermogen vanaf 20 kW bestaande uit </w:t>
      </w:r>
      <w:r>
        <w:rPr>
          <w:rFonts w:cs="Arial" w:eastAsiaTheme="minorEastAsia"/>
          <w:color w:val="auto"/>
          <w:sz w:val="16"/>
          <w:szCs w:val="16"/>
          <w14:ligatures w14:val="standardContextual"/>
        </w:rPr>
        <w:t>een of meer</w:t>
      </w:r>
      <w:r w:rsidRPr="00817FAD">
        <w:rPr>
          <w:rFonts w:cs="Arial" w:eastAsiaTheme="minorEastAsia"/>
          <w:color w:val="auto"/>
          <w:sz w:val="16"/>
          <w:szCs w:val="16"/>
          <w14:ligatures w14:val="standardContextual"/>
        </w:rPr>
        <w:t xml:space="preserve"> laadpunt</w:t>
      </w:r>
      <w:r>
        <w:rPr>
          <w:rFonts w:cs="Arial" w:eastAsiaTheme="minorEastAsia"/>
          <w:color w:val="auto"/>
          <w:sz w:val="16"/>
          <w:szCs w:val="16"/>
          <w14:ligatures w14:val="standardContextual"/>
        </w:rPr>
        <w:t>en</w:t>
      </w:r>
      <w:r w:rsidRPr="00817FAD">
        <w:rPr>
          <w:rFonts w:cs="Arial" w:eastAsiaTheme="minorEastAsia"/>
          <w:color w:val="auto"/>
          <w:sz w:val="16"/>
          <w:szCs w:val="16"/>
          <w14:ligatures w14:val="standardContextual"/>
        </w:rPr>
        <w:t>. Het vermogen van een DC laadstation bij een modulair systeem, waarbij sprake is van een fysieke scheiding tussen laadstations en vermogenskast, is gebaseerd op de som van het geïnstalleerd vermogen dat parallel maximaal geleverd kan worden door de vermogenskast.</w:t>
      </w:r>
    </w:p>
    <w:p w:rsidR="00475E4A" w:rsidP="00475E4A" w:rsidRDefault="00475E4A" w14:paraId="24B757DA" w14:textId="77777777">
      <w:pPr>
        <w:widowControl w:val="0"/>
        <w:autoSpaceDE w:val="0"/>
        <w:adjustRightInd w:val="0"/>
        <w:spacing w:after="240" w:line="240" w:lineRule="auto"/>
        <w:textAlignment w:val="auto"/>
        <w:rPr>
          <w:rFonts w:cs="Arial" w:eastAsiaTheme="minorEastAsia"/>
          <w:color w:val="auto"/>
          <w:sz w:val="16"/>
          <w:szCs w:val="16"/>
          <w14:ligatures w14:val="standardContextual"/>
        </w:rPr>
      </w:pPr>
      <w:r w:rsidRPr="00817FAD">
        <w:rPr>
          <w:rFonts w:cs="Arial" w:eastAsiaTheme="minorEastAsia"/>
          <w:color w:val="auto"/>
          <w:sz w:val="16"/>
          <w:szCs w:val="16"/>
          <w14:ligatures w14:val="standardContextual"/>
        </w:rPr>
        <w:t xml:space="preserve"> </w:t>
      </w:r>
      <w:r w:rsidRPr="00817FAD">
        <w:rPr>
          <w:rFonts w:cs="Arial" w:eastAsiaTheme="minorEastAsia"/>
          <w:color w:val="auto"/>
          <w:sz w:val="16"/>
          <w:szCs w:val="16"/>
          <w:vertAlign w:val="superscript"/>
          <w14:ligatures w14:val="standardContextual"/>
        </w:rPr>
        <w:t>2</w:t>
      </w:r>
      <w:r w:rsidRPr="00817FAD">
        <w:rPr>
          <w:rFonts w:cs="Arial" w:eastAsiaTheme="minorEastAsia"/>
          <w:color w:val="auto"/>
          <w:sz w:val="16"/>
          <w:szCs w:val="16"/>
          <w14:ligatures w14:val="standardContextual"/>
        </w:rPr>
        <w:t xml:space="preserve"> De aanvraag kan worden gedaan voor AC laadstations met een vermogen vanaf 20 kW, die voor de bouwwerkzaamheid nieuw op of bij de bouwlocatie zijn geïnstalleerd of deel uitmaken van een laadhub voor bouwprojecten.</w:t>
      </w:r>
      <w:r>
        <w:rPr>
          <w:rFonts w:cs="Arial" w:eastAsiaTheme="minorEastAsia"/>
          <w:color w:val="auto"/>
          <w:sz w:val="16"/>
          <w:szCs w:val="16"/>
          <w14:ligatures w14:val="standardContextual"/>
        </w:rPr>
        <w:br/>
      </w:r>
      <w:r w:rsidRPr="00817FAD">
        <w:rPr>
          <w:rFonts w:cs="Arial" w:eastAsiaTheme="minorEastAsia"/>
          <w:color w:val="auto"/>
          <w:sz w:val="16"/>
          <w:szCs w:val="16"/>
          <w:vertAlign w:val="superscript"/>
          <w14:ligatures w14:val="standardContextual"/>
        </w:rPr>
        <w:t xml:space="preserve">3 </w:t>
      </w:r>
      <w:r w:rsidRPr="00817FAD">
        <w:rPr>
          <w:rFonts w:cs="Arial" w:eastAsiaTheme="minorEastAsia"/>
          <w:color w:val="auto"/>
          <w:sz w:val="16"/>
          <w:szCs w:val="16"/>
          <w14:ligatures w14:val="standardContextual"/>
        </w:rPr>
        <w:t>Het aantal inzetdagen voor deze categorie wordt bepaald door te rekenen vanaf de eerste inzetdag van de in de betreffende bouwwerkzaamheid te laden machines tot en met de laatste inzetdag van de in de betreffende bouwwerkzaamheid te laden machines.</w:t>
      </w:r>
    </w:p>
    <w:p w:rsidR="00475E4A" w:rsidP="00475E4A" w:rsidRDefault="00475E4A" w14:paraId="28B1FF4B" w14:textId="77777777">
      <w:pPr>
        <w:spacing w:line="240" w:lineRule="auto"/>
        <w:rPr>
          <w:rFonts w:cs="Arial" w:eastAsiaTheme="minorEastAsia"/>
          <w:color w:val="auto"/>
          <w:sz w:val="16"/>
          <w:szCs w:val="16"/>
          <w14:ligatures w14:val="standardContextual"/>
        </w:rPr>
      </w:pPr>
      <w:r>
        <w:rPr>
          <w:rFonts w:cs="Arial" w:eastAsiaTheme="minorEastAsia"/>
          <w:color w:val="auto"/>
          <w:sz w:val="16"/>
          <w:szCs w:val="16"/>
          <w14:ligatures w14:val="standardContextual"/>
        </w:rPr>
        <w:br w:type="page"/>
      </w:r>
    </w:p>
    <w:p w:rsidR="00475E4A" w:rsidP="00475E4A" w:rsidRDefault="00475E4A" w14:paraId="4F9BA375" w14:textId="77777777">
      <w:pPr>
        <w:rPr>
          <w:b/>
          <w:bCs/>
        </w:rPr>
      </w:pPr>
      <w:r>
        <w:rPr>
          <w:b/>
          <w:bCs/>
        </w:rPr>
        <w:t>TOELICHTING</w:t>
      </w:r>
    </w:p>
    <w:p w:rsidR="00475E4A" w:rsidP="00475E4A" w:rsidRDefault="00475E4A" w14:paraId="20DA96B9" w14:textId="77777777">
      <w:pPr>
        <w:rPr>
          <w:b/>
          <w:bCs/>
        </w:rPr>
      </w:pPr>
    </w:p>
    <w:p w:rsidR="00475E4A" w:rsidP="00475E4A" w:rsidRDefault="00475E4A" w14:paraId="7CD4FB2A" w14:textId="77777777">
      <w:pPr>
        <w:rPr>
          <w:b/>
          <w:bCs/>
        </w:rPr>
      </w:pPr>
      <w:r>
        <w:rPr>
          <w:b/>
          <w:bCs/>
        </w:rPr>
        <w:t>Algemeen</w:t>
      </w:r>
    </w:p>
    <w:p w:rsidRPr="007E4CA6" w:rsidR="00475E4A" w:rsidP="00475E4A" w:rsidRDefault="00475E4A" w14:paraId="11B470CC" w14:textId="77777777">
      <w:pPr>
        <w:rPr>
          <w:b/>
          <w:bCs/>
        </w:rPr>
      </w:pPr>
    </w:p>
    <w:p w:rsidR="00475E4A" w:rsidP="00475E4A" w:rsidRDefault="00475E4A" w14:paraId="5258035F" w14:textId="77777777">
      <w:pPr>
        <w:pStyle w:val="ListParagraph"/>
        <w:numPr>
          <w:ilvl w:val="0"/>
          <w:numId w:val="25"/>
        </w:numPr>
        <w:autoSpaceDN/>
        <w:spacing w:after="160" w:line="259" w:lineRule="auto"/>
        <w:textAlignment w:val="auto"/>
        <w:rPr>
          <w:b/>
          <w:bCs/>
        </w:rPr>
      </w:pPr>
      <w:r>
        <w:rPr>
          <w:b/>
          <w:bCs/>
        </w:rPr>
        <w:t>Inleiding</w:t>
      </w:r>
    </w:p>
    <w:p w:rsidR="00475E4A" w:rsidP="00475E4A" w:rsidRDefault="00475E4A" w14:paraId="1586355F" w14:textId="42D332FA">
      <w:r w:rsidRPr="00753460">
        <w:t>Op 9 april 2024 is de Regeling s</w:t>
      </w:r>
      <w:r>
        <w:t>timulering schoon en emissieloos bouwen voor medeoverheden (hierna: de regeling) in werking getreden. Op grond van deze regeling kunnen specifieke uitkeringen aan provincies en gemeentes en subsidies aan waterschappen worden verstrekt</w:t>
      </w:r>
      <w:r w:rsidR="00565A3C">
        <w:t xml:space="preserve"> indien ze het Convenant Schoon en Emissieloos Bouwen (hierna: het Convenant) hebben ondertekend</w:t>
      </w:r>
      <w:r>
        <w:t>. De regeling heeft tot doel het stimuleren van medeoverheden</w:t>
      </w:r>
      <w:r w:rsidR="00565A3C">
        <w:t xml:space="preserve"> om het Convenant te ondertekenen en</w:t>
      </w:r>
      <w:r>
        <w:t xml:space="preserve"> om emissieloos bouwmaterieel </w:t>
      </w:r>
      <w:r w:rsidR="008F508B">
        <w:t xml:space="preserve">uit te vragen </w:t>
      </w:r>
      <w:r>
        <w:t xml:space="preserve">bij aanbestedingen en daarmee bij te dragen aan doelen op het gebied van stikstofreductie, klimaat en gezondheid. </w:t>
      </w:r>
    </w:p>
    <w:p w:rsidR="00475E4A" w:rsidP="00475E4A" w:rsidRDefault="00475E4A" w14:paraId="58BA3987" w14:textId="77777777"/>
    <w:p w:rsidRPr="00784645" w:rsidR="00475E4A" w:rsidP="00475E4A" w:rsidRDefault="00475E4A" w14:paraId="7B3DDCD6" w14:textId="7132A6DE">
      <w:r>
        <w:t xml:space="preserve">Met deze wijziging wordt de regeling gewijzigd in verband met het toevoegen van de nieuwe toetreders tot het convenant, </w:t>
      </w:r>
      <w:r w:rsidR="004365BF">
        <w:t xml:space="preserve">de </w:t>
      </w:r>
      <w:r>
        <w:t xml:space="preserve">verhoging van de vergoedingsbedragen, </w:t>
      </w:r>
      <w:r w:rsidR="004365BF">
        <w:t xml:space="preserve">de </w:t>
      </w:r>
      <w:r>
        <w:t>wijziging van de lijst met bouwmachines</w:t>
      </w:r>
      <w:r w:rsidR="008F508B">
        <w:t xml:space="preserve"> om</w:t>
      </w:r>
      <w:r>
        <w:t xml:space="preserve"> meer voorzieningen voor laadinfrastructuur</w:t>
      </w:r>
      <w:r w:rsidR="008F508B">
        <w:t xml:space="preserve"> op te nemen</w:t>
      </w:r>
      <w:r>
        <w:t xml:space="preserve"> en enkele andere verbeteringen. </w:t>
      </w:r>
      <w:r w:rsidRPr="00784645">
        <w:t>De wijzigingen komen voort uit terugkoppeling</w:t>
      </w:r>
      <w:r w:rsidR="00565A3C">
        <w:t xml:space="preserve"> en aangeleverde data</w:t>
      </w:r>
      <w:r w:rsidRPr="00784645">
        <w:t xml:space="preserve"> van medeoverheden </w:t>
      </w:r>
      <w:r>
        <w:t xml:space="preserve">en de bouwsector </w:t>
      </w:r>
      <w:r w:rsidR="00565A3C">
        <w:t>met betrekking tot</w:t>
      </w:r>
      <w:r w:rsidRPr="00784645" w:rsidR="00565A3C">
        <w:t xml:space="preserve"> </w:t>
      </w:r>
      <w:r w:rsidRPr="00784645">
        <w:t xml:space="preserve">de regeling.  </w:t>
      </w:r>
    </w:p>
    <w:p w:rsidR="00475E4A" w:rsidP="00475E4A" w:rsidRDefault="00475E4A" w14:paraId="0F4DF40F" w14:textId="77777777"/>
    <w:p w:rsidR="00475E4A" w:rsidP="00475E4A" w:rsidRDefault="00475E4A" w14:paraId="3C988FBB" w14:textId="77777777">
      <w:pPr>
        <w:pStyle w:val="ListParagraph"/>
        <w:numPr>
          <w:ilvl w:val="0"/>
          <w:numId w:val="25"/>
        </w:numPr>
        <w:rPr>
          <w:b/>
          <w:bCs/>
        </w:rPr>
      </w:pPr>
      <w:r w:rsidRPr="007E4CA6">
        <w:rPr>
          <w:b/>
          <w:bCs/>
        </w:rPr>
        <w:t>Inhoud wijzigingen</w:t>
      </w:r>
    </w:p>
    <w:p w:rsidRPr="007E4CA6" w:rsidR="00475E4A" w:rsidP="00475E4A" w:rsidRDefault="00475E4A" w14:paraId="43CEE02F" w14:textId="77777777">
      <w:pPr>
        <w:pStyle w:val="ListParagraph"/>
        <w:rPr>
          <w:b/>
          <w:bCs/>
        </w:rPr>
      </w:pPr>
    </w:p>
    <w:p w:rsidR="00475E4A" w:rsidP="00475E4A" w:rsidRDefault="00475E4A" w14:paraId="727B5073" w14:textId="77777777">
      <w:r>
        <w:t xml:space="preserve">Hieronder worden de belangrijkste wijzigingen in de regeling toegelicht. </w:t>
      </w:r>
    </w:p>
    <w:p w:rsidR="00475E4A" w:rsidP="00475E4A" w:rsidRDefault="00475E4A" w14:paraId="7FCA42C3" w14:textId="77777777"/>
    <w:p w:rsidR="00475E4A" w:rsidP="00475E4A" w:rsidRDefault="00475E4A" w14:paraId="0D701DC4" w14:textId="77777777">
      <w:pPr>
        <w:rPr>
          <w:b/>
          <w:bCs/>
          <w:i/>
          <w:iCs/>
        </w:rPr>
      </w:pPr>
      <w:r>
        <w:rPr>
          <w:b/>
          <w:bCs/>
          <w:i/>
          <w:iCs/>
        </w:rPr>
        <w:t>Toetreding nieuwe convenantpartners</w:t>
      </w:r>
    </w:p>
    <w:p w:rsidR="00475E4A" w:rsidP="00475E4A" w:rsidRDefault="00475E4A" w14:paraId="2132A379" w14:textId="4508F85A">
      <w:r>
        <w:t xml:space="preserve">Bijlage 2 van de regeling is geactualiseerd met de nieuwe </w:t>
      </w:r>
      <w:r w:rsidRPr="00B96BE6">
        <w:t xml:space="preserve">toetreders </w:t>
      </w:r>
      <w:r w:rsidRPr="00B96BE6" w:rsidR="004365BF">
        <w:t>tot</w:t>
      </w:r>
      <w:r w:rsidRPr="00B96BE6">
        <w:t xml:space="preserve"> het Convenant tot 20 augustus 2025. Tot 20 augustus 2025 zijn </w:t>
      </w:r>
      <w:r w:rsidR="00E37010">
        <w:t>49</w:t>
      </w:r>
      <w:r w:rsidRPr="00B96BE6">
        <w:t xml:space="preserve"> nieuwe gemeenten toegetreden tot het Convenant. </w:t>
      </w:r>
      <w:r w:rsidR="00BF2754">
        <w:t xml:space="preserve">Dit brengt het totaal aantal medeoverheden </w:t>
      </w:r>
      <w:r w:rsidR="00D676D8">
        <w:t xml:space="preserve">dat </w:t>
      </w:r>
      <w:r w:rsidR="00BF2754">
        <w:t xml:space="preserve">partij </w:t>
      </w:r>
      <w:r w:rsidR="00D676D8">
        <w:t>is</w:t>
      </w:r>
      <w:r w:rsidR="00BF2754">
        <w:t xml:space="preserve"> bij het convenant op </w:t>
      </w:r>
      <w:r w:rsidR="00E37010">
        <w:t>120</w:t>
      </w:r>
      <w:r w:rsidR="00BF2754">
        <w:t xml:space="preserve">. </w:t>
      </w:r>
      <w:r w:rsidRPr="00B96BE6">
        <w:t xml:space="preserve">Deze </w:t>
      </w:r>
      <w:r w:rsidR="00BF2754">
        <w:t>medeoverhed</w:t>
      </w:r>
      <w:r w:rsidRPr="00B96BE6">
        <w:t xml:space="preserve">en komen daarmee in 2026 ook voor een rijksbijdrage in aanmerking. </w:t>
      </w:r>
    </w:p>
    <w:p w:rsidR="00475E4A" w:rsidP="00475E4A" w:rsidRDefault="00475E4A" w14:paraId="2EB6266F" w14:textId="77777777">
      <w:pPr>
        <w:rPr>
          <w:b/>
          <w:bCs/>
          <w:i/>
          <w:iCs/>
        </w:rPr>
      </w:pPr>
    </w:p>
    <w:p w:rsidR="00475E4A" w:rsidP="00475E4A" w:rsidRDefault="00475E4A" w14:paraId="1CED431F" w14:textId="77777777">
      <w:pPr>
        <w:rPr>
          <w:b/>
          <w:bCs/>
          <w:i/>
          <w:iCs/>
        </w:rPr>
      </w:pPr>
      <w:r>
        <w:rPr>
          <w:b/>
          <w:bCs/>
          <w:i/>
          <w:iCs/>
        </w:rPr>
        <w:t>Wijziging vergoedingsbedragen</w:t>
      </w:r>
    </w:p>
    <w:p w:rsidR="00475E4A" w:rsidP="00475E4A" w:rsidRDefault="00475E4A" w14:paraId="5534CB16" w14:textId="139AA77E">
      <w:pPr>
        <w:widowControl w:val="0"/>
        <w:autoSpaceDE w:val="0"/>
        <w:adjustRightInd w:val="0"/>
      </w:pPr>
      <w:r>
        <w:t xml:space="preserve">In de regeling wordt gewerkt met vergoedingsbedragen gebaseerd op de inzet en het vermogen van het ingezette emissieloos bouwmaterieel. In 2026 wordt een forfaitair startbedrag van € 2.400 </w:t>
      </w:r>
      <w:r w:rsidR="00565A3C">
        <w:t xml:space="preserve">aan de vergoedingsbedragen toegevoegd </w:t>
      </w:r>
      <w:r>
        <w:t xml:space="preserve">als tegemoetkoming in de extra administratieve lasten voor het uitvragen van emissieloos bouwmaterieel bij aanbestedingen en de daarbij behorende monitoring en evaluatie. Medeoverheden hebben aangegeven dat deze lasten een drempel vormen voor het aanvragen van met name kleine projecten. </w:t>
      </w:r>
      <w:r w:rsidRPr="00B945D0">
        <w:rPr>
          <w:rFonts w:cs="Arial"/>
        </w:rPr>
        <w:t xml:space="preserve">Juist via kleine projecten worden nieuwe en vaak kleinere aannemers gestimuleerd om de stap naar emissieloos materieel te maken en kunnen medeoverheden breder ervaring opdoen. Bij grote projecten, waarop veelal grotere aannemers inschrijven, is inzet van emissieloos materieel al meer gangbaar. Bij kleine projecten is dat minder het geval, zo blijkt uit overleggen met de convenantpartijen. Uitgaande van een inzet van 40 uur (één werkweek) en een vergoeding van 60 euro per uur is het forfaitair startbedrag vastgesteld op </w:t>
      </w:r>
      <w:r>
        <w:rPr>
          <w:rFonts w:cs="Arial"/>
        </w:rPr>
        <w:t xml:space="preserve">€ </w:t>
      </w:r>
      <w:r w:rsidRPr="00B945D0">
        <w:rPr>
          <w:rFonts w:cs="Arial"/>
        </w:rPr>
        <w:t>2.400 euro per aanvraag</w:t>
      </w:r>
      <w:r>
        <w:rPr>
          <w:rFonts w:cs="Arial"/>
        </w:rPr>
        <w:t xml:space="preserve">. </w:t>
      </w:r>
      <w:r>
        <w:t xml:space="preserve">De middelen van de rijksbijdrage kunnen breder ingezet worden bij aanbestedingen dan alleen voor de inzet van emissieloos bouwmaterieel, zolang deze inzet wel </w:t>
      </w:r>
      <w:r w:rsidR="00ED506E">
        <w:t xml:space="preserve">daar aan is </w:t>
      </w:r>
      <w:r>
        <w:t>verbonden. Dit is nader toegelicht in de artikelsgewijze toelichting bij artikel 5.</w:t>
      </w:r>
    </w:p>
    <w:p w:rsidR="00475E4A" w:rsidP="00475E4A" w:rsidRDefault="00475E4A" w14:paraId="655FE820" w14:textId="77777777"/>
    <w:p w:rsidR="00475E4A" w:rsidP="00475E4A" w:rsidRDefault="00475E4A" w14:paraId="2B590B5D" w14:textId="5DE7BC8E">
      <w:pPr>
        <w:rPr>
          <w:b/>
          <w:bCs/>
          <w:i/>
          <w:iCs/>
        </w:rPr>
      </w:pPr>
      <w:r>
        <w:t>Daarnaast is het vergoedingsbedrag voor middelgroot en zwaar materieel verhoogd met respectievelijk 10% en 20%. Dit is gedaan op grond van feedback van gemeenten en provincies. Met name de p</w:t>
      </w:r>
      <w:r w:rsidRPr="00506312">
        <w:rPr>
          <w:rFonts w:cs="Arial"/>
        </w:rPr>
        <w:t xml:space="preserve">rovincies geven aan dat de vergoedingsbedragen voor grotere machines ontoereikend zijn. </w:t>
      </w:r>
      <w:r w:rsidR="008F508B">
        <w:t>Verder</w:t>
      </w:r>
      <w:r w:rsidR="004365BF">
        <w:t xml:space="preserve"> </w:t>
      </w:r>
      <w:r>
        <w:t xml:space="preserve">is er een extra categorie toegevoegd voor zeer grote bouwmachines (boven de 300kW motorvermogen). Het toevoegen van deze extra categorie sluit aan op de trend dat </w:t>
      </w:r>
      <w:r w:rsidR="00565A3C">
        <w:t>emissieloos ook bij steeds zwaarder materieel gangbaar wordt</w:t>
      </w:r>
      <w:r>
        <w:t xml:space="preserve">. </w:t>
      </w:r>
      <w:r w:rsidRPr="00506312">
        <w:rPr>
          <w:rFonts w:cs="Arial"/>
        </w:rPr>
        <w:t xml:space="preserve">Ook in de Subsidieregeling </w:t>
      </w:r>
      <w:r>
        <w:rPr>
          <w:rFonts w:cs="Arial"/>
        </w:rPr>
        <w:t>s</w:t>
      </w:r>
      <w:r w:rsidRPr="00506312">
        <w:rPr>
          <w:rFonts w:cs="Arial"/>
        </w:rPr>
        <w:t xml:space="preserve">choon en </w:t>
      </w:r>
      <w:r>
        <w:rPr>
          <w:rFonts w:cs="Arial"/>
        </w:rPr>
        <w:t>e</w:t>
      </w:r>
      <w:r w:rsidRPr="00506312">
        <w:rPr>
          <w:rFonts w:cs="Arial"/>
        </w:rPr>
        <w:t xml:space="preserve">missieloos </w:t>
      </w:r>
      <w:r>
        <w:rPr>
          <w:rFonts w:cs="Arial"/>
        </w:rPr>
        <w:t>b</w:t>
      </w:r>
      <w:r w:rsidRPr="00506312">
        <w:rPr>
          <w:rFonts w:cs="Arial"/>
        </w:rPr>
        <w:t>ouwmaterieel</w:t>
      </w:r>
      <w:r w:rsidR="00C55EAD">
        <w:rPr>
          <w:rFonts w:cs="Arial"/>
        </w:rPr>
        <w:t xml:space="preserve"> (SSEB)</w:t>
      </w:r>
      <w:r w:rsidRPr="00506312">
        <w:rPr>
          <w:rFonts w:cs="Arial"/>
        </w:rPr>
        <w:t xml:space="preserve"> neemt het aandeel aanvragen voor </w:t>
      </w:r>
      <w:r w:rsidRPr="00565A3C">
        <w:rPr>
          <w:rFonts w:cs="Arial"/>
        </w:rPr>
        <w:t xml:space="preserve">zeer </w:t>
      </w:r>
      <w:r w:rsidRPr="001A376A">
        <w:rPr>
          <w:rFonts w:cs="Arial"/>
        </w:rPr>
        <w:t>groot</w:t>
      </w:r>
      <w:r w:rsidRPr="00565A3C">
        <w:rPr>
          <w:rFonts w:cs="Arial"/>
        </w:rPr>
        <w:t xml:space="preserve"> emis</w:t>
      </w:r>
      <w:r w:rsidRPr="00506312">
        <w:rPr>
          <w:rFonts w:cs="Arial"/>
        </w:rPr>
        <w:t xml:space="preserve">sieloos materieel toe. Over de meerkosten van </w:t>
      </w:r>
      <w:r w:rsidRPr="00565A3C">
        <w:rPr>
          <w:rFonts w:cs="Arial"/>
        </w:rPr>
        <w:t xml:space="preserve">zeer </w:t>
      </w:r>
      <w:r w:rsidRPr="001A376A">
        <w:rPr>
          <w:rFonts w:cs="Arial"/>
        </w:rPr>
        <w:t>grote</w:t>
      </w:r>
      <w:r w:rsidRPr="00565A3C">
        <w:rPr>
          <w:rFonts w:cs="Arial"/>
        </w:rPr>
        <w:t xml:space="preserve"> bouwmachines is nog beperkte informatie beschikbaar. Het nieuwe vergoedingsbedra</w:t>
      </w:r>
      <w:r w:rsidRPr="00506312">
        <w:rPr>
          <w:rFonts w:cs="Arial"/>
        </w:rPr>
        <w:t>g is</w:t>
      </w:r>
      <w:r>
        <w:rPr>
          <w:rFonts w:cs="Arial"/>
        </w:rPr>
        <w:t xml:space="preserve"> dan ook</w:t>
      </w:r>
      <w:r w:rsidRPr="00506312">
        <w:rPr>
          <w:rFonts w:cs="Arial"/>
        </w:rPr>
        <w:t xml:space="preserve"> gebaseerd op informatie aangeleverd door de provincies.</w:t>
      </w:r>
      <w:r>
        <w:rPr>
          <w:rFonts w:cs="Arial"/>
        </w:rPr>
        <w:t xml:space="preserve"> </w:t>
      </w:r>
      <w:r w:rsidRPr="00506312">
        <w:rPr>
          <w:rFonts w:cs="Arial"/>
        </w:rPr>
        <w:t xml:space="preserve">Gemeenten geven aan dat de vergoedingsbedragen voor de bouwmachines die bij hun bouwprojecten worden ingezet </w:t>
      </w:r>
      <w:r w:rsidR="008F508B">
        <w:rPr>
          <w:rFonts w:cs="Arial"/>
        </w:rPr>
        <w:t xml:space="preserve">doorgaans </w:t>
      </w:r>
      <w:r w:rsidRPr="00506312">
        <w:rPr>
          <w:rFonts w:cs="Arial"/>
        </w:rPr>
        <w:t>toereikend zijn. Bij gemeentelijke bouwprojecten wordt over het algemeen kleiner materieel ingezet</w:t>
      </w:r>
      <w:r>
        <w:rPr>
          <w:rFonts w:cs="Arial"/>
        </w:rPr>
        <w:t xml:space="preserve"> dan bij projecten van provincies</w:t>
      </w:r>
      <w:r w:rsidRPr="00506312">
        <w:rPr>
          <w:rFonts w:cs="Arial"/>
        </w:rPr>
        <w:t>. Daarom blijven de vergoedingsbedragen voor mini en klein materieel ongewijzigd en wordt voor het grotere materieel een stapsgewijze ophoging doorgevoerd</w:t>
      </w:r>
      <w:r>
        <w:rPr>
          <w:rFonts w:cs="Arial"/>
        </w:rPr>
        <w:t>.</w:t>
      </w:r>
    </w:p>
    <w:p w:rsidR="00475E4A" w:rsidP="00475E4A" w:rsidRDefault="00475E4A" w14:paraId="1215AC4E" w14:textId="77777777">
      <w:pPr>
        <w:rPr>
          <w:b/>
          <w:bCs/>
          <w:i/>
          <w:iCs/>
        </w:rPr>
      </w:pPr>
    </w:p>
    <w:p w:rsidR="00475E4A" w:rsidP="00475E4A" w:rsidRDefault="00475E4A" w14:paraId="647FE4AE" w14:textId="4C753E3F">
      <w:r>
        <w:rPr>
          <w:b/>
          <w:bCs/>
          <w:i/>
          <w:iCs/>
        </w:rPr>
        <w:t>Wijziging verdelingsregime</w:t>
      </w:r>
      <w:r>
        <w:rPr>
          <w:b/>
          <w:bCs/>
          <w:i/>
          <w:iCs/>
        </w:rPr>
        <w:br/>
      </w:r>
      <w:r w:rsidRPr="00D719DC">
        <w:t>In 2024 en 2025 gold er een</w:t>
      </w:r>
      <w:r>
        <w:t xml:space="preserve"> vast individueel rijksbijdrageplafond voor aanvragen die vielen onder de reikwijdte van het Mobiliteitsfonds. De afgelopen jaren is echter gebleken dat er grote individuele verschillen zijn in de aanvragen van verschillende medeoverheden. </w:t>
      </w:r>
      <w:r w:rsidR="008F508B">
        <w:t>Voor de aanvraagperiode i</w:t>
      </w:r>
      <w:r>
        <w:t xml:space="preserve">n 2026 is het daarom mogelijk gemaakt dat vanaf 1 juli aanvragers die het individuele rijksbijdrageplafond van € 1.000.000 (inclusief btw) reeds bereikt hebben nog aanvragen kunnen doen ten laste van het dan nog resterende rijksbijdrageplafond. Voor de periode tussen 1 juli en de sluitingsdatum van de regeling in september geldt dan ‘wie het eerst komt, wie het eerst maalt’. Dit stelt de koplopers onder de medeoverheden met een bovengemiddelde opdrachtenportefeuille in staat om de uitvraag van emissieloos materieel te versnellen. Dit leidt naar verwachting tot dalende kosten voor alle medeoverheden, omdat door de toenemende vraag naar emissieloos bouwmaterieel ook het aanbod zal groeien en vervolgens de kosten zullen dalen. Ook doen convenantpartijen zo meer ervaring op met aanbestedingen met emissieloos bouwmaterieel en zijn er meer kansen voor aannemers om hun emissieloos materieel in te zetten. </w:t>
      </w:r>
      <w:r w:rsidR="00C55EAD">
        <w:t>Het m</w:t>
      </w:r>
      <w:r w:rsidRPr="00C55EAD" w:rsidR="00C55EAD">
        <w:t>aximaal aan te vragen budget per medeoverheid over looptijd regeling blijft</w:t>
      </w:r>
      <w:r w:rsidR="00C55EAD">
        <w:t xml:space="preserve"> ongewijzigd, namelijk</w:t>
      </w:r>
      <w:r w:rsidRPr="00C55EAD" w:rsidR="00C55EAD">
        <w:t xml:space="preserve"> € 5.000.000,-</w:t>
      </w:r>
      <w:r w:rsidR="00C55EAD">
        <w:t>.</w:t>
      </w:r>
    </w:p>
    <w:p w:rsidRPr="00753460" w:rsidR="00475E4A" w:rsidP="00475E4A" w:rsidRDefault="00475E4A" w14:paraId="1974D7D5" w14:textId="77777777"/>
    <w:p w:rsidR="00475E4A" w:rsidP="00475E4A" w:rsidRDefault="00475E4A" w14:paraId="3288BA15" w14:textId="77777777">
      <w:pPr>
        <w:rPr>
          <w:b/>
          <w:bCs/>
          <w:i/>
          <w:iCs/>
        </w:rPr>
      </w:pPr>
      <w:r>
        <w:rPr>
          <w:b/>
          <w:bCs/>
          <w:i/>
          <w:iCs/>
        </w:rPr>
        <w:t>Wijzigingen machinelijst</w:t>
      </w:r>
    </w:p>
    <w:p w:rsidR="00475E4A" w:rsidP="00475E4A" w:rsidRDefault="00475E4A" w14:paraId="425777D8" w14:textId="7F494E7C">
      <w:r>
        <w:t>In bijlage 1 van de regeling is de machinelijst opgenomen met emissieloze bouwmachines die voor een rijksbijdrage in aanmerking komen. In 2025 is deze lijst uitgebreid met een vergoeding voor DC (gelijkstroom) laadstations. Medeoverheden hebben aan</w:t>
      </w:r>
      <w:r w:rsidR="00851892">
        <w:t>ge</w:t>
      </w:r>
      <w:r>
        <w:t>geven dat in veel gevallen ook kosten worden gemaakt voor het aanleggen van vaste laadinfrastructuur op of bij bouwlocaties. In 2026 komen daarom ook AC (wisselstroom) laadstations voor vergoeding in aanmerking. Daarnaast komen in 2026 ook vrachtwagens zonder specifieke bouwgerelateerde carrosseriecodes in aanmerking voor een rijksbijdrage. Deze wijzigingen worden nader toegelicht in het artikelsgewijze deel van de toelichting.</w:t>
      </w:r>
    </w:p>
    <w:p w:rsidRPr="00753460" w:rsidR="00475E4A" w:rsidP="00475E4A" w:rsidRDefault="00475E4A" w14:paraId="309D667F" w14:textId="77777777">
      <w:pPr>
        <w:rPr>
          <w:b/>
          <w:bCs/>
        </w:rPr>
      </w:pPr>
    </w:p>
    <w:p w:rsidR="00475E4A" w:rsidP="00475E4A" w:rsidRDefault="00475E4A" w14:paraId="2171E57D" w14:textId="77777777">
      <w:pPr>
        <w:pStyle w:val="ListParagraph"/>
        <w:numPr>
          <w:ilvl w:val="0"/>
          <w:numId w:val="25"/>
        </w:numPr>
        <w:autoSpaceDN/>
        <w:spacing w:after="160" w:line="259" w:lineRule="auto"/>
        <w:textAlignment w:val="auto"/>
        <w:rPr>
          <w:b/>
          <w:bCs/>
        </w:rPr>
      </w:pPr>
      <w:r>
        <w:rPr>
          <w:b/>
          <w:bCs/>
        </w:rPr>
        <w:t>Verhouding tot bestaande regelgeving</w:t>
      </w:r>
    </w:p>
    <w:p w:rsidR="00475E4A" w:rsidP="00475E4A" w:rsidRDefault="00475E4A" w14:paraId="297DAD99" w14:textId="77777777">
      <w:r>
        <w:t>Op grond van deze regeling kunnen specifieke uitkeringen aan provincies en gemeentes en subsidies aan waterschappen worden verstrekt. Op specifieke uitkeringen is de Financiële-verhoudingswet van toepassing. In artikel 17, eerste lid, van de Financiële-verhoudingswet staat dat specifieke uitkeringen worden geregeld bij of krachtens de wet. Deze wettelijke grondslag wordt geboden in de Kaderwet subsidies I en M. Op grond van deze regeling kunnen ook subsidies worden verstrekt aan waterschappen. Hierbij is de Kaderwet subsidies van toepassing en de bepalingen uit het Kaderbesluit die in artikel 2 van de regeling van overeenkomstige toepassing zijn verklaard.</w:t>
      </w:r>
    </w:p>
    <w:p w:rsidR="00475E4A" w:rsidP="00475E4A" w:rsidRDefault="00475E4A" w14:paraId="5579A178" w14:textId="77777777"/>
    <w:p w:rsidR="00475E4A" w:rsidP="00475E4A" w:rsidRDefault="00475E4A" w14:paraId="36345F19" w14:textId="77777777">
      <w:pPr>
        <w:pStyle w:val="ListParagraph"/>
        <w:numPr>
          <w:ilvl w:val="0"/>
          <w:numId w:val="25"/>
        </w:numPr>
        <w:autoSpaceDN/>
        <w:textAlignment w:val="auto"/>
        <w:rPr>
          <w:b/>
          <w:bCs/>
        </w:rPr>
      </w:pPr>
      <w:r>
        <w:rPr>
          <w:b/>
          <w:bCs/>
        </w:rPr>
        <w:t>Gevolgen wijzigingen</w:t>
      </w:r>
    </w:p>
    <w:p w:rsidRPr="004F765B" w:rsidR="00475E4A" w:rsidP="00475E4A" w:rsidRDefault="00475E4A" w14:paraId="12310825" w14:textId="77777777">
      <w:pPr>
        <w:autoSpaceDN/>
        <w:ind w:left="360"/>
        <w:textAlignment w:val="auto"/>
        <w:rPr>
          <w:b/>
          <w:bCs/>
        </w:rPr>
      </w:pPr>
    </w:p>
    <w:p w:rsidR="00475E4A" w:rsidP="00475E4A" w:rsidRDefault="00475E4A" w14:paraId="7E12208B" w14:textId="1885A001">
      <w:r>
        <w:t xml:space="preserve">De opgenomen wijzigingen zijn </w:t>
      </w:r>
      <w:r w:rsidR="00C55EAD">
        <w:t xml:space="preserve">gunstig </w:t>
      </w:r>
      <w:r>
        <w:t>voor de aanvragers.</w:t>
      </w:r>
      <w:r w:rsidR="00C55EAD">
        <w:t xml:space="preserve"> De wijzigingen zijn in nauwe consultatie met de aanvragers ontwikkeld, en positief ontvangen tijdens de stakeholdersessies waar ze in gepresenteerd zijn.</w:t>
      </w:r>
      <w:r>
        <w:t xml:space="preserve"> De uitbreiding van de machinelijst leidt ertoe dat meer emissieloos bouwmaterieel voor vergoeding in aanmerking komt. Daarnaast wordt de regeling ook financieel aantrekkelijker voor aanvragers door het hogere vergoedingsbedrag voor middelgroot en zwaar materieel en de introductie van een speciale categorie voor zeer zwaar materieel. Als laatste is er ook meer financiële ruimte gecreëerd voor de koplopers onder de medeoverheden doordat zij na 1 juli ook boven € 1.000.000 nog aanvragen kunnen indienen. Naar verwachting zullen deze wijzigingen dan ook leiden tot meer aanvragen. </w:t>
      </w:r>
      <w:r w:rsidR="00C55EAD">
        <w:t xml:space="preserve">Dit kan tevens positieve effecten hebben voor bouwprojecten die vastlopen als gevolg van de stikstofproblematiek. </w:t>
      </w:r>
    </w:p>
    <w:p w:rsidR="00475E4A" w:rsidP="00475E4A" w:rsidRDefault="00475E4A" w14:paraId="1877820A" w14:textId="77777777"/>
    <w:p w:rsidRPr="00B96BE6" w:rsidR="00475E4A" w:rsidP="00475E4A" w:rsidRDefault="00475E4A" w14:paraId="3BC471C1" w14:textId="5A3F6BEB">
      <w:r>
        <w:rPr>
          <w:b/>
          <w:bCs/>
          <w:i/>
          <w:iCs/>
        </w:rPr>
        <w:t>Financiële gevolgen</w:t>
      </w:r>
      <w:r>
        <w:rPr>
          <w:b/>
          <w:bCs/>
          <w:i/>
          <w:iCs/>
        </w:rPr>
        <w:br/>
      </w:r>
      <w:r>
        <w:t xml:space="preserve">Het beschikbare budget voor de volledige looptijd van de regeling is dit jaar ongewijzigd en komt daarmee uit op € 216.000.000. Voor iedere medeoverheid </w:t>
      </w:r>
      <w:r w:rsidRPr="00B96BE6">
        <w:t xml:space="preserve">die het Convenant heeft ondertekend is in eerste instantie tot 1 juli € 1.000.000 beschikbaar in 2026. Daarmee is het totale rijksbijdrageplafond voor 2026 € </w:t>
      </w:r>
      <w:r w:rsidRPr="00B96BE6" w:rsidR="00D676D8">
        <w:t>1</w:t>
      </w:r>
      <w:r w:rsidR="00D676D8">
        <w:t>20</w:t>
      </w:r>
      <w:r w:rsidRPr="00B96BE6" w:rsidR="00D676D8">
        <w:t>.000.000</w:t>
      </w:r>
      <w:r w:rsidRPr="00B96BE6">
        <w:t xml:space="preserve">, namelijk € 1.000.000 x </w:t>
      </w:r>
      <w:r w:rsidR="00D676D8">
        <w:t>120</w:t>
      </w:r>
      <w:r w:rsidRPr="00B96BE6">
        <w:t xml:space="preserve"> medeoverheden. Na 1 juli van 2026 is het dan resterende rijksbijdrageplafond voor een ieder beschikbaar, volgens de regeling wie het eerst komt, wie het eerst maalt zoals ook toegelicht in paragraaf 2. </w:t>
      </w:r>
    </w:p>
    <w:p w:rsidRPr="00B96BE6" w:rsidR="00475E4A" w:rsidP="00475E4A" w:rsidRDefault="00475E4A" w14:paraId="7A4CD4D3" w14:textId="77777777"/>
    <w:p w:rsidRPr="00B96BE6" w:rsidR="00475E4A" w:rsidP="00475E4A" w:rsidRDefault="00475E4A" w14:paraId="708D8914" w14:textId="4E1BF202">
      <w:r w:rsidRPr="00B96BE6">
        <w:t xml:space="preserve">Van het totale plafond is voor 2026, net als in 2025, € 20.000.000 afkomstig van de reguliere Rijksbegroting (hoofdstuk XII) en € </w:t>
      </w:r>
      <w:r w:rsidRPr="00B96BE6" w:rsidR="00D676D8">
        <w:t>1</w:t>
      </w:r>
      <w:r w:rsidR="00D676D8">
        <w:t>00</w:t>
      </w:r>
      <w:r w:rsidRPr="00B96BE6" w:rsidR="00D676D8">
        <w:t>.000.000</w:t>
      </w:r>
      <w:r w:rsidR="00D676D8">
        <w:t xml:space="preserve"> </w:t>
      </w:r>
      <w:r w:rsidRPr="00B96BE6">
        <w:t>van het Mobiliteitsfonds. Het Mobiliteitsfonds maakt het doorschuiven van middelen mogelijk, maar stelt beperkingen aan het soort bouwwerkzaamheden dat voor de vergoeding in aanmerking komt. Hoofdstuk XII van de reguliere Rijksbegroting stelt deze inhoudelijke beperkingen niet, maar het doorschuiven van niet uitgeputte middelen is niet mogelijk. Daarom is sinds vorig jaar gekozen voor een combinatie van deze twee begrotingsposten. Dit maakt het mogelijk een zo breed mogelijk scala aan bouwwerkzaamheden in aanmerking te laten komen voor de rijksbijdrage en tegelijkertijd te kunnen blijven werken met ruime budgetreserveringen per medeoverheid. Deze aanpak heeft het afgelopen jaar goed gewerkt en wordt daarom dit jaar op dezelfde wijze voortgezet.</w:t>
      </w:r>
    </w:p>
    <w:p w:rsidRPr="00B96BE6" w:rsidR="00475E4A" w:rsidP="00475E4A" w:rsidRDefault="00475E4A" w14:paraId="00D0A9CC" w14:textId="77777777"/>
    <w:p w:rsidR="00475E4A" w:rsidP="00475E4A" w:rsidRDefault="00475E4A" w14:paraId="600EAF61" w14:textId="23D0889C">
      <w:r w:rsidRPr="00B96BE6">
        <w:t xml:space="preserve">De Tweede en/of Eerste </w:t>
      </w:r>
      <w:r w:rsidRPr="00680984">
        <w:t xml:space="preserve">Kamer </w:t>
      </w:r>
      <w:r w:rsidRPr="00680984" w:rsidR="00B96BE6">
        <w:t xml:space="preserve">[PM] </w:t>
      </w:r>
      <w:r w:rsidRPr="00680984">
        <w:t>heeft</w:t>
      </w:r>
      <w:r w:rsidRPr="00B96BE6">
        <w:t xml:space="preserve"> nog niet besloten over de begroting van het Ministerie van Infrastructuur en Waterstaat</w:t>
      </w:r>
      <w:r w:rsidRPr="003A4C78">
        <w:t xml:space="preserve"> voor 202</w:t>
      </w:r>
      <w:r>
        <w:t>6</w:t>
      </w:r>
      <w:r w:rsidRPr="003A4C78">
        <w:t>. Daarom kan er voor het kalenderjaar 202</w:t>
      </w:r>
      <w:r>
        <w:t>6</w:t>
      </w:r>
      <w:r w:rsidRPr="003A4C78">
        <w:t xml:space="preserve"> geen </w:t>
      </w:r>
      <w:r>
        <w:t>rijksbijdrage</w:t>
      </w:r>
      <w:r w:rsidRPr="003A4C78">
        <w:t xml:space="preserve">plafond worden vastgesteld zonder daar een </w:t>
      </w:r>
      <w:r>
        <w:t>begrotings</w:t>
      </w:r>
      <w:r w:rsidRPr="003A4C78">
        <w:t>voorbehoud bij te maken</w:t>
      </w:r>
      <w:r>
        <w:t>, zoals ook opgenomen in artikel 10 van de regeling</w:t>
      </w:r>
      <w:r w:rsidRPr="003A4C78">
        <w:t xml:space="preserve">. Aanvragen op grond van deze </w:t>
      </w:r>
      <w:r>
        <w:t>r</w:t>
      </w:r>
      <w:r w:rsidRPr="003A4C78">
        <w:t xml:space="preserve">egeling worden vaak ver van tevoren voorbereid. Om de </w:t>
      </w:r>
      <w:r>
        <w:t>medeoverheden</w:t>
      </w:r>
      <w:r w:rsidRPr="003A4C78">
        <w:t xml:space="preserve"> een indicatie te geven van het beschikbare budget</w:t>
      </w:r>
      <w:r>
        <w:t xml:space="preserve"> is de wijziging van de regeling nu vastgesteld. Dit maakt het ook mogelijk om aanvragen te doen aan het begin van het jaar met de openstelling vanaf 13 januari 2026. </w:t>
      </w:r>
      <w:r w:rsidRPr="003A4C78">
        <w:t>Een verlaging van een reeds bekend gemaakt en in werking getreden plafond heeft in de regel geen gevolgen voor reeds ingediende aanvragen. Artikel 4:28 Awb biedt hierop een uitzonderingsmogelijkheid voor plafonds die worden vastgesteld voordat de begroting is vastgesteld of goedgekeurd. Deze bepaling borgt dat een eventuele latere plafondverlaging voor deze regeling gevolgen heeft voor eerder ingediende aanvragen.</w:t>
      </w:r>
    </w:p>
    <w:p w:rsidRPr="003A4C78" w:rsidR="00475E4A" w:rsidP="00475E4A" w:rsidRDefault="00475E4A" w14:paraId="2E6B05E4" w14:textId="77777777"/>
    <w:p w:rsidR="00475E4A" w:rsidP="00475E4A" w:rsidRDefault="00475E4A" w14:paraId="5ACDBF1D" w14:textId="77777777">
      <w:pPr>
        <w:rPr>
          <w:b/>
          <w:bCs/>
          <w:i/>
          <w:iCs/>
        </w:rPr>
      </w:pPr>
      <w:r>
        <w:rPr>
          <w:b/>
          <w:bCs/>
          <w:i/>
          <w:iCs/>
        </w:rPr>
        <w:t>Consultatie</w:t>
      </w:r>
    </w:p>
    <w:p w:rsidR="00475E4A" w:rsidP="00475E4A" w:rsidRDefault="00475E4A" w14:paraId="222999B9" w14:textId="77777777">
      <w:r>
        <w:t xml:space="preserve">De wijzigingen van de regelingen zijn voortgekomen uit verzoeken van stakeholders en RVO. Er zijn concrete verzoeken gedaan voor aanpassingen via de Taskforce SEB. De regeling is uitvoerig besproken, onder meer in stakeholdersessies, met vertegenwoordigers van individuele gemeenten, provincies en waterschappen, en met de koepels van medeoverheden (VNG, UvW en IPO). Ook zijn signalen van medeoverheden die via RVO en het Ondersteuningsprogramma SEB zijn binnengekomen waar mogelijk verwerkt. </w:t>
      </w:r>
    </w:p>
    <w:p w:rsidR="00475E4A" w:rsidP="00475E4A" w:rsidRDefault="00475E4A" w14:paraId="30FB0E0C" w14:textId="77777777">
      <w:pPr>
        <w:rPr>
          <w:b/>
          <w:bCs/>
          <w:i/>
          <w:iCs/>
        </w:rPr>
      </w:pPr>
    </w:p>
    <w:p w:rsidR="00475E4A" w:rsidP="00475E4A" w:rsidRDefault="00475E4A" w14:paraId="2A56B2E9" w14:textId="77777777">
      <w:r>
        <w:rPr>
          <w:b/>
          <w:bCs/>
          <w:i/>
          <w:iCs/>
        </w:rPr>
        <w:t>Uitvoering</w:t>
      </w:r>
      <w:r>
        <w:rPr>
          <w:b/>
          <w:bCs/>
          <w:i/>
          <w:iCs/>
        </w:rPr>
        <w:br/>
      </w:r>
      <w:r>
        <w:t xml:space="preserve">De regeling wordt uitgevoerd in mandaat door RVO. De wijziging van deze regeling is in nauwe samenspraak met RVO opgesteld om te zorgen dat de regeling goed uitvoerbaar is. De wijziging van de regeling leidt niet tot grote aanpassingen voor RVO. </w:t>
      </w:r>
    </w:p>
    <w:p w:rsidR="00475E4A" w:rsidP="00475E4A" w:rsidRDefault="00475E4A" w14:paraId="5B1A523C" w14:textId="77777777"/>
    <w:p w:rsidR="00475E4A" w:rsidP="00475E4A" w:rsidRDefault="00475E4A" w14:paraId="1BD1AD7A" w14:textId="77777777">
      <w:r>
        <w:rPr>
          <w:b/>
          <w:bCs/>
          <w:i/>
          <w:iCs/>
        </w:rPr>
        <w:t>Voorhangprocedure</w:t>
      </w:r>
      <w:r>
        <w:rPr>
          <w:b/>
          <w:bCs/>
          <w:i/>
          <w:iCs/>
        </w:rPr>
        <w:br/>
      </w:r>
      <w:r>
        <w:t xml:space="preserve">Een ontwerp van deze regeling is in het kader van de verplichte voorhangprocedure op grond van artikel 7, vierde lid, van de Wet Mobiliteitsfonds voorgelegd aan de Tweede </w:t>
      </w:r>
      <w:r w:rsidRPr="00680984">
        <w:t>Kamer op [pm datum]. Dit heeft</w:t>
      </w:r>
      <w:r w:rsidRPr="00B96BE6">
        <w:t xml:space="preserve"> wel/niet geleid tot vragen of opmerkingen.</w:t>
      </w:r>
      <w:r>
        <w:t xml:space="preserve"> </w:t>
      </w:r>
    </w:p>
    <w:p w:rsidRPr="00C84DB3" w:rsidR="00475E4A" w:rsidP="00475E4A" w:rsidRDefault="00475E4A" w14:paraId="55F8E774" w14:textId="77777777"/>
    <w:p w:rsidR="00475E4A" w:rsidP="00475E4A" w:rsidRDefault="00475E4A" w14:paraId="48D42794" w14:textId="77777777">
      <w:pPr>
        <w:rPr>
          <w:b/>
          <w:bCs/>
          <w:i/>
          <w:iCs/>
        </w:rPr>
      </w:pPr>
      <w:r>
        <w:rPr>
          <w:b/>
          <w:bCs/>
          <w:i/>
          <w:iCs/>
        </w:rPr>
        <w:t>Toetsing regeldruk</w:t>
      </w:r>
    </w:p>
    <w:p w:rsidR="00475E4A" w:rsidP="00475E4A" w:rsidRDefault="00475E4A" w14:paraId="0DFF3BD3" w14:textId="00FBB6BA">
      <w:r>
        <w:t xml:space="preserve">Nu de regeling is gericht op de financiële relatie tussen overheden is deze regeling niet voorgelegd aan het Adviescollege toetsing regeldruk in overeenstemming met de richtlijn van dit college. De regeling heeft geen rechtstreekse werking naar burgers en bedrijven en daarmee ook geen gevolgen voor de regeldruk. De administratieve lasten voor overheden zijn hierboven geadresseerd. </w:t>
      </w:r>
      <w:r w:rsidRPr="000B3C11" w:rsidR="000B3C11">
        <w:t>Om de administratieve lasten voor medeoverheden te verminderen, wordt er niet meer standaard bij iedere afgeronde bouwwerkzaamheid een evaluatieformulier opgevraagd.</w:t>
      </w:r>
    </w:p>
    <w:p w:rsidR="00475E4A" w:rsidP="00475E4A" w:rsidRDefault="00475E4A" w14:paraId="13A6C614" w14:textId="77777777"/>
    <w:p w:rsidR="00475E4A" w:rsidP="00475E4A" w:rsidRDefault="00475E4A" w14:paraId="00099821" w14:textId="77777777">
      <w:pPr>
        <w:pStyle w:val="ListParagraph"/>
        <w:numPr>
          <w:ilvl w:val="0"/>
          <w:numId w:val="25"/>
        </w:numPr>
        <w:autoSpaceDN/>
        <w:spacing w:after="160" w:line="259" w:lineRule="auto"/>
        <w:textAlignment w:val="auto"/>
        <w:rPr>
          <w:b/>
          <w:bCs/>
        </w:rPr>
      </w:pPr>
      <w:r>
        <w:rPr>
          <w:b/>
          <w:bCs/>
        </w:rPr>
        <w:t>Inwerkingtreding van de regeling</w:t>
      </w:r>
    </w:p>
    <w:p w:rsidR="00475E4A" w:rsidP="00475E4A" w:rsidRDefault="00475E4A" w14:paraId="0B1DD992" w14:textId="4E333D44">
      <w:r>
        <w:t xml:space="preserve">Deze regeling treedt in werking met ingang van 1 januari 2026. Daarmee wordt aangesloten bij de vaste verandermomenten voor ministeriële regelingen. Wel wordt afgeweken van de minimuminvoeringstermijn van twee maanden (artikel 4.17 van de Aanwijzingen voor de regelgeving). De reden van deze afwijking is dat hiermee, gelet op de doelgroep, aanmerkelijke ongewenste private </w:t>
      </w:r>
      <w:r w:rsidR="008F508B">
        <w:t xml:space="preserve">en publieke </w:t>
      </w:r>
      <w:r>
        <w:t xml:space="preserve">nadelen worden voorkomen. Het is van belang dat de regeling aangepast is voor de nieuwe openstellingsperiode vanaf 13 januari 2026. </w:t>
      </w:r>
    </w:p>
    <w:p w:rsidR="00475E4A" w:rsidP="00475E4A" w:rsidRDefault="00475E4A" w14:paraId="133076A2" w14:textId="77777777"/>
    <w:p w:rsidR="00475E4A" w:rsidP="00475E4A" w:rsidRDefault="00475E4A" w14:paraId="4543D5A6" w14:textId="77777777">
      <w:pPr>
        <w:rPr>
          <w:b/>
          <w:bCs/>
        </w:rPr>
      </w:pPr>
      <w:r>
        <w:rPr>
          <w:b/>
          <w:bCs/>
        </w:rPr>
        <w:t>Artikelsgewijze toelichting</w:t>
      </w:r>
    </w:p>
    <w:p w:rsidR="00475E4A" w:rsidP="00475E4A" w:rsidRDefault="00475E4A" w14:paraId="56681CCF" w14:textId="77777777">
      <w:pPr>
        <w:rPr>
          <w:b/>
          <w:bCs/>
        </w:rPr>
      </w:pPr>
    </w:p>
    <w:p w:rsidR="00475E4A" w:rsidP="00475E4A" w:rsidRDefault="00475E4A" w14:paraId="73262137" w14:textId="77777777">
      <w:pPr>
        <w:rPr>
          <w:i/>
          <w:iCs/>
        </w:rPr>
      </w:pPr>
      <w:r>
        <w:rPr>
          <w:i/>
          <w:iCs/>
        </w:rPr>
        <w:t>Artikel I, onderdeel A</w:t>
      </w:r>
    </w:p>
    <w:p w:rsidR="00475E4A" w:rsidP="00475E4A" w:rsidRDefault="00475E4A" w14:paraId="18D52A07" w14:textId="77777777"/>
    <w:p w:rsidR="00475E4A" w:rsidP="00475E4A" w:rsidRDefault="00475E4A" w14:paraId="44BA0983" w14:textId="77777777">
      <w:r>
        <w:t xml:space="preserve">De begripsomschrijving van bouwvoertuig in artikel 1 is aangepast. Dit is omdat vanaf 2026 ook vrachtwagens zonder specifieke bouwgerelateerde carrosseriecodes in aanmerking komen voor een rijksbijdrage. Te denken valt aan elektrische opleggertrekkers en bakwagens die worden gebruikt voor aanvoer van bouwmaterialen naar een bouwlocatie. Daarnaast is artikel 1, onderdeel e, komen te vervallen. Het ging hier om de eis dat de bouwmachine in hoofdzaak wordt gebruikt voor het verrichten van bouwwerkzaamheden in de open lucht. Deze eis is echter niet noodzakelijk omdat de bouwmachine waarvoor de rijksbijdrage wordt aangevraagd per definitie voor een bouwwerkzaamheid ingezet wordt, zodat de rijksbijdrage ten goede komt aan stikstofreductie in de bouw. </w:t>
      </w:r>
    </w:p>
    <w:p w:rsidR="00475E4A" w:rsidP="00475E4A" w:rsidRDefault="00475E4A" w14:paraId="300BBE8F" w14:textId="77777777"/>
    <w:p w:rsidR="00475E4A" w:rsidP="00475E4A" w:rsidRDefault="00475E4A" w14:paraId="4D9A30DE" w14:textId="77777777">
      <w:pPr>
        <w:rPr>
          <w:i/>
          <w:iCs/>
        </w:rPr>
      </w:pPr>
      <w:r>
        <w:rPr>
          <w:i/>
          <w:iCs/>
        </w:rPr>
        <w:t>Artikel I, onderdeel B</w:t>
      </w:r>
    </w:p>
    <w:p w:rsidR="00475E4A" w:rsidP="00475E4A" w:rsidRDefault="00475E4A" w14:paraId="2F5181FA" w14:textId="77777777"/>
    <w:p w:rsidR="00475E4A" w:rsidP="00475E4A" w:rsidRDefault="00475E4A" w14:paraId="64F418AD" w14:textId="5BB40B49">
      <w:r>
        <w:t xml:space="preserve">Artikel 5 van de regeling bevat het rijksbijdrageplafond en de wijze van verdeling In het tweede lid is een </w:t>
      </w:r>
      <w:r w:rsidRPr="00B96BE6">
        <w:t xml:space="preserve">nieuw onderdeel c toegevoegd met het plafond voor 2026. In 2026 is € </w:t>
      </w:r>
      <w:r w:rsidRPr="00D676D8" w:rsidR="00D676D8">
        <w:t>1</w:t>
      </w:r>
      <w:r w:rsidR="00D676D8">
        <w:t>0</w:t>
      </w:r>
      <w:r w:rsidRPr="00D676D8" w:rsidR="00D676D8">
        <w:t>0.000.000</w:t>
      </w:r>
      <w:r w:rsidRPr="00B96BE6">
        <w:t xml:space="preserve"> van de totale verplichtingenruimte afkomstig van het Mobiliteitsfonds.</w:t>
      </w:r>
      <w:r>
        <w:t xml:space="preserve"> Deze middelen worden ingezet voor alle aanvragen die binnen het doel van het Mobiliteitsfonds vallen. In 2026 is net als in 2025 € 20.000.000 van de totale verplichtingenruimte afkomstig van Hoofdstuk XII van de Rijksbegroting. Deze middelen worden in eerste instantie ingezet voor alle aanvragen voor bouwwerkzaamheden die niet binnen de reikwijdte van het Mobiliteitsfonds vallen. </w:t>
      </w:r>
    </w:p>
    <w:p w:rsidR="00475E4A" w:rsidP="00475E4A" w:rsidRDefault="00475E4A" w14:paraId="0363A248" w14:textId="77777777"/>
    <w:p w:rsidR="00475E4A" w:rsidP="00475E4A" w:rsidRDefault="00475E4A" w14:paraId="20555A2F" w14:textId="77777777">
      <w:r>
        <w:t>In het derde lid is de verwijzing naar onderdeel b, onderdeel 2</w:t>
      </w:r>
      <w:bookmarkStart w:name="_Hlk202183358" w:id="1"/>
      <w:r>
        <w:t>°</w:t>
      </w:r>
      <w:bookmarkEnd w:id="1"/>
      <w:r>
        <w:t xml:space="preserve"> komen te vervallen. Met de wijziging van het zesde lid, hieronder nader toegelicht, kan met een minder specifieke verwijzing volstaan worden. </w:t>
      </w:r>
    </w:p>
    <w:p w:rsidR="00475E4A" w:rsidP="00475E4A" w:rsidRDefault="00475E4A" w14:paraId="05716F21" w14:textId="77777777"/>
    <w:p w:rsidR="00475E4A" w:rsidP="00475E4A" w:rsidRDefault="00475E4A" w14:paraId="6BC10559" w14:textId="77777777">
      <w:r>
        <w:t xml:space="preserve">Het vierde en vijfde lid zijn aangepast om de verwijzing naar het jaartal te actualiseren van 2025 naar 2026. </w:t>
      </w:r>
    </w:p>
    <w:p w:rsidR="00475E4A" w:rsidP="00475E4A" w:rsidRDefault="00475E4A" w14:paraId="66F728A8" w14:textId="77777777"/>
    <w:p w:rsidR="00475E4A" w:rsidP="00475E4A" w:rsidRDefault="00475E4A" w14:paraId="32DFA2A7" w14:textId="77777777">
      <w:pPr>
        <w:widowControl w:val="0"/>
        <w:autoSpaceDE w:val="0"/>
        <w:adjustRightInd w:val="0"/>
        <w:rPr>
          <w:rFonts w:cs="Arial"/>
        </w:rPr>
      </w:pPr>
      <w:r w:rsidRPr="00730A7A">
        <w:rPr>
          <w:rFonts w:cs="Arial"/>
        </w:rPr>
        <w:t xml:space="preserve">In het zesde en zevende lid, wordt geregeld dat vanaf 1 juli tot het sluiten van de aanvraagperiode het op dat moment nog beschikbare budget ook beschikbaar komt voor aanvragers die hun individuele </w:t>
      </w:r>
      <w:r>
        <w:rPr>
          <w:rFonts w:cs="Arial"/>
        </w:rPr>
        <w:t>rijksbijdrage</w:t>
      </w:r>
      <w:r w:rsidRPr="00730A7A">
        <w:rPr>
          <w:rFonts w:cs="Arial"/>
        </w:rPr>
        <w:t>plafond van € 1.000.000 incl</w:t>
      </w:r>
      <w:r>
        <w:rPr>
          <w:rFonts w:cs="Arial"/>
        </w:rPr>
        <w:t xml:space="preserve">usief </w:t>
      </w:r>
      <w:r w:rsidRPr="00730A7A">
        <w:rPr>
          <w:rFonts w:cs="Arial"/>
        </w:rPr>
        <w:t xml:space="preserve">btw reeds bereikt hebben. In deze periode van ongeveer tweeënhalve maand heeft de regeling een volledig </w:t>
      </w:r>
      <w:r>
        <w:rPr>
          <w:rFonts w:cs="Arial"/>
        </w:rPr>
        <w:t>‘wie het eerst komt, wie het eerst maalt’-</w:t>
      </w:r>
      <w:r w:rsidRPr="00730A7A">
        <w:rPr>
          <w:rFonts w:cs="Arial"/>
        </w:rPr>
        <w:t xml:space="preserve">karakter. </w:t>
      </w:r>
      <w:r>
        <w:rPr>
          <w:rFonts w:cs="Arial"/>
        </w:rPr>
        <w:t xml:space="preserve">De wijziging is nader toegelicht in paragraaf 2 van het algemene deel van de toelichting. </w:t>
      </w:r>
    </w:p>
    <w:p w:rsidR="00475E4A" w:rsidP="00475E4A" w:rsidRDefault="00475E4A" w14:paraId="486FB08B" w14:textId="77777777">
      <w:pPr>
        <w:widowControl w:val="0"/>
        <w:autoSpaceDE w:val="0"/>
        <w:adjustRightInd w:val="0"/>
        <w:rPr>
          <w:rFonts w:cs="Arial"/>
        </w:rPr>
      </w:pPr>
    </w:p>
    <w:p w:rsidR="00475E4A" w:rsidP="00475E4A" w:rsidRDefault="00475E4A" w14:paraId="7FD49018" w14:textId="77777777">
      <w:pPr>
        <w:widowControl w:val="0"/>
        <w:autoSpaceDE w:val="0"/>
        <w:adjustRightInd w:val="0"/>
        <w:rPr>
          <w:rFonts w:cs="Arial"/>
        </w:rPr>
      </w:pPr>
      <w:r>
        <w:rPr>
          <w:rFonts w:cs="Arial"/>
        </w:rPr>
        <w:t xml:space="preserve">Het oude achtste lid kan komen te vervallen omdat deze bepaling overbodig is geworden met de nieuwe formulering van het zesde lid. Het oude zevende lid is daarom nu geformuleerd als achtste lid. Inhoudelijk is dit niet gewijzigd. </w:t>
      </w:r>
    </w:p>
    <w:p w:rsidR="00475E4A" w:rsidP="00475E4A" w:rsidRDefault="00475E4A" w14:paraId="18A8F37D" w14:textId="77777777">
      <w:pPr>
        <w:widowControl w:val="0"/>
        <w:autoSpaceDE w:val="0"/>
        <w:adjustRightInd w:val="0"/>
        <w:rPr>
          <w:rFonts w:cs="Arial"/>
          <w:i/>
          <w:iCs/>
        </w:rPr>
      </w:pPr>
    </w:p>
    <w:p w:rsidR="00475E4A" w:rsidP="00475E4A" w:rsidRDefault="00475E4A" w14:paraId="2491C52C" w14:textId="77777777">
      <w:pPr>
        <w:widowControl w:val="0"/>
        <w:autoSpaceDE w:val="0"/>
        <w:adjustRightInd w:val="0"/>
        <w:rPr>
          <w:rFonts w:cs="Arial"/>
          <w:i/>
          <w:iCs/>
        </w:rPr>
      </w:pPr>
      <w:r>
        <w:rPr>
          <w:rFonts w:cs="Arial"/>
          <w:i/>
          <w:iCs/>
        </w:rPr>
        <w:t>Artikel I, onderdeel C</w:t>
      </w:r>
    </w:p>
    <w:p w:rsidR="00475E4A" w:rsidP="00475E4A" w:rsidRDefault="00475E4A" w14:paraId="0745FCC2" w14:textId="77777777">
      <w:pPr>
        <w:widowControl w:val="0"/>
        <w:autoSpaceDE w:val="0"/>
        <w:adjustRightInd w:val="0"/>
        <w:rPr>
          <w:rFonts w:cs="Arial"/>
        </w:rPr>
      </w:pPr>
    </w:p>
    <w:p w:rsidR="00287A6C" w:rsidP="00475E4A" w:rsidRDefault="00475E4A" w14:paraId="72E42D56" w14:textId="77777777">
      <w:pPr>
        <w:widowControl w:val="0"/>
        <w:autoSpaceDE w:val="0"/>
        <w:adjustRightInd w:val="0"/>
      </w:pPr>
      <w:r w:rsidRPr="00B945D0">
        <w:rPr>
          <w:rFonts w:cs="Arial"/>
        </w:rPr>
        <w:t xml:space="preserve">In artikel 6 is de hoogte van de rijksbijdrage geregeld, welke wordt berekend aan de hand van de vergoedingstabellen uit bijlage 3. De vergoeding wordt in 2026 uitgebreid met </w:t>
      </w:r>
      <w:r w:rsidRPr="000B1A64">
        <w:rPr>
          <w:rFonts w:cs="Arial"/>
        </w:rPr>
        <w:t>een forfaitair startbedrag van € 2.400</w:t>
      </w:r>
      <w:r>
        <w:rPr>
          <w:rFonts w:cs="Arial"/>
        </w:rPr>
        <w:t xml:space="preserve"> inclusief btw</w:t>
      </w:r>
      <w:r w:rsidRPr="000B1A64">
        <w:rPr>
          <w:rFonts w:cs="Arial"/>
        </w:rPr>
        <w:t>.</w:t>
      </w:r>
      <w:r>
        <w:rPr>
          <w:rStyle w:val="FootnoteReference"/>
          <w:rFonts w:cs="Arial"/>
        </w:rPr>
        <w:footnoteReference w:id="1"/>
      </w:r>
      <w:r w:rsidRPr="000B1A64">
        <w:rPr>
          <w:rFonts w:cs="Arial"/>
        </w:rPr>
        <w:t xml:space="preserve"> </w:t>
      </w:r>
      <w:r w:rsidRPr="000B1A64">
        <w:rPr>
          <w:rFonts w:cs="Arial"/>
          <w:i/>
          <w:iCs/>
        </w:rPr>
        <w:t>Z</w:t>
      </w:r>
      <w:r w:rsidRPr="00B945D0">
        <w:rPr>
          <w:rFonts w:cs="Arial"/>
        </w:rPr>
        <w:t xml:space="preserve">oals ook is toegelicht in paragraaf 2 van het algemene deel van de toelichting, is dit aangepast als tegemoetkoming in de extra administratieve lasten en de daarbij behorende monitoring en evaluatie. </w:t>
      </w:r>
      <w:r w:rsidRPr="00B945D0">
        <w:t>Medeoverheden hebben aangegeven dat deze lasten een drempel vormen voor het aanvragen van met name kleine projecten.</w:t>
      </w:r>
    </w:p>
    <w:p w:rsidR="00287A6C" w:rsidP="00475E4A" w:rsidRDefault="00287A6C" w14:paraId="2B8E88CA" w14:textId="77777777">
      <w:pPr>
        <w:widowControl w:val="0"/>
        <w:autoSpaceDE w:val="0"/>
        <w:adjustRightInd w:val="0"/>
      </w:pPr>
    </w:p>
    <w:p w:rsidR="00287A6C" w:rsidP="00287A6C" w:rsidRDefault="00287A6C" w14:paraId="23CDDA4D" w14:textId="40D21891">
      <w:pPr>
        <w:widowControl w:val="0"/>
        <w:autoSpaceDE w:val="0"/>
        <w:adjustRightInd w:val="0"/>
        <w:rPr>
          <w:rFonts w:cs="Arial"/>
        </w:rPr>
      </w:pPr>
      <w:r>
        <w:rPr>
          <w:rFonts w:cs="Arial"/>
        </w:rPr>
        <w:t>D</w:t>
      </w:r>
      <w:r w:rsidRPr="00B945D0">
        <w:rPr>
          <w:rFonts w:cs="Arial"/>
        </w:rPr>
        <w:t xml:space="preserve">e </w:t>
      </w:r>
      <w:r>
        <w:rPr>
          <w:rFonts w:cs="Arial"/>
        </w:rPr>
        <w:t>rijksbijdrage</w:t>
      </w:r>
      <w:r w:rsidRPr="00B945D0">
        <w:rPr>
          <w:rFonts w:cs="Arial"/>
        </w:rPr>
        <w:t>, zowel het forfaitair startbedrag als de vergoeding</w:t>
      </w:r>
      <w:r>
        <w:rPr>
          <w:rFonts w:cs="Arial"/>
        </w:rPr>
        <w:t xml:space="preserve"> per inzetdag</w:t>
      </w:r>
      <w:r w:rsidRPr="00B945D0">
        <w:rPr>
          <w:rFonts w:cs="Arial"/>
        </w:rPr>
        <w:t>,</w:t>
      </w:r>
      <w:r>
        <w:rPr>
          <w:rFonts w:cs="Arial"/>
        </w:rPr>
        <w:t xml:space="preserve"> dient besteed te worden aan de inzet van emissieloos bouwmaterieel </w:t>
      </w:r>
      <w:r w:rsidR="000B3A8C">
        <w:rPr>
          <w:rFonts w:cs="Arial"/>
        </w:rPr>
        <w:t>en/of</w:t>
      </w:r>
      <w:r>
        <w:rPr>
          <w:rFonts w:cs="Arial"/>
        </w:rPr>
        <w:t xml:space="preserve"> aan </w:t>
      </w:r>
      <w:r w:rsidRPr="00B945D0">
        <w:rPr>
          <w:rFonts w:cs="Arial"/>
        </w:rPr>
        <w:t>direct verbonden kosten</w:t>
      </w:r>
      <w:r>
        <w:rPr>
          <w:rFonts w:cs="Arial"/>
        </w:rPr>
        <w:t xml:space="preserve"> gerelateerd aan de</w:t>
      </w:r>
      <w:r w:rsidRPr="00B945D0">
        <w:rPr>
          <w:rFonts w:cs="Arial"/>
        </w:rPr>
        <w:t xml:space="preserve"> bouwwerkzaamheid die medeoverheden maken voor de inzet van emissieloze bouwmachines bij aanbestede bouwwerkzaamheden. Direct verbonden kosten zijn bijvoorbeeld: een gedeeltelijke dekking van de aanbestedingssom, een meerkostenvergoeding voor aannemers, kosten met betrekking tot monitoring en controle op naleving</w:t>
      </w:r>
      <w:r>
        <w:rPr>
          <w:rFonts w:cs="Arial"/>
        </w:rPr>
        <w:t>,</w:t>
      </w:r>
      <w:r w:rsidRPr="00B945D0">
        <w:rPr>
          <w:rFonts w:cs="Arial"/>
        </w:rPr>
        <w:t xml:space="preserve"> of overheadkosten voor de medeoverheid.</w:t>
      </w:r>
    </w:p>
    <w:p w:rsidR="00287A6C" w:rsidP="00287A6C" w:rsidRDefault="00287A6C" w14:paraId="2B3C8315" w14:textId="77777777">
      <w:pPr>
        <w:widowControl w:val="0"/>
        <w:autoSpaceDE w:val="0"/>
        <w:adjustRightInd w:val="0"/>
        <w:rPr>
          <w:rFonts w:cs="Arial"/>
        </w:rPr>
      </w:pPr>
    </w:p>
    <w:p w:rsidRPr="00B945D0" w:rsidR="00475E4A" w:rsidP="00287A6C" w:rsidRDefault="00287A6C" w14:paraId="22FE54CD" w14:textId="150DC70C">
      <w:pPr>
        <w:widowControl w:val="0"/>
        <w:autoSpaceDE w:val="0"/>
        <w:adjustRightInd w:val="0"/>
        <w:rPr>
          <w:rFonts w:cs="Arial"/>
        </w:rPr>
      </w:pPr>
      <w:r>
        <w:rPr>
          <w:rFonts w:cs="Arial"/>
        </w:rPr>
        <w:t xml:space="preserve">Voor de accountantscontrole in het kader van de SiSa-verantwoording (gemeenten en provincies) of de </w:t>
      </w:r>
      <w:r w:rsidR="008C2C52">
        <w:rPr>
          <w:rFonts w:cs="Arial"/>
        </w:rPr>
        <w:t xml:space="preserve">controleverklaring </w:t>
      </w:r>
      <w:r>
        <w:rPr>
          <w:rFonts w:cs="Arial"/>
        </w:rPr>
        <w:t xml:space="preserve">(waterschappen) kunnen de </w:t>
      </w:r>
      <w:r w:rsidRPr="00324F76">
        <w:rPr>
          <w:rFonts w:cs="Arial"/>
        </w:rPr>
        <w:t xml:space="preserve">bestede kosten </w:t>
      </w:r>
      <w:r>
        <w:rPr>
          <w:rFonts w:cs="Arial"/>
        </w:rPr>
        <w:t xml:space="preserve">op verschillende manieren </w:t>
      </w:r>
      <w:r w:rsidRPr="00324F76">
        <w:rPr>
          <w:rFonts w:cs="Arial"/>
        </w:rPr>
        <w:t>onderbouwd worden</w:t>
      </w:r>
      <w:r>
        <w:rPr>
          <w:rFonts w:cs="Arial"/>
        </w:rPr>
        <w:t>. Dit kan ten eerste</w:t>
      </w:r>
      <w:r w:rsidRPr="00324F76">
        <w:rPr>
          <w:rFonts w:cs="Arial"/>
        </w:rPr>
        <w:t xml:space="preserve"> door de werkelijke inzetdagen in het betreffende jaar maal de </w:t>
      </w:r>
      <w:r w:rsidRPr="00B945D0">
        <w:rPr>
          <w:rFonts w:cs="Arial"/>
        </w:rPr>
        <w:t xml:space="preserve">vergoeding </w:t>
      </w:r>
      <w:r>
        <w:rPr>
          <w:rFonts w:cs="Arial"/>
        </w:rPr>
        <w:t>per inzetdag zoals</w:t>
      </w:r>
      <w:r w:rsidRPr="00B945D0">
        <w:rPr>
          <w:rFonts w:cs="Arial"/>
        </w:rPr>
        <w:t xml:space="preserve"> berekend volgens bijlage 3</w:t>
      </w:r>
      <w:r>
        <w:rPr>
          <w:rFonts w:cs="Arial"/>
        </w:rPr>
        <w:t xml:space="preserve"> te onderbouwen. De werkelijke inzetdagen zijn bijvoorbeeld aan te tonen aan de hand van een inzetlogboek of facturen van de uitvoerder van de werkzaamheden.</w:t>
      </w:r>
      <w:r w:rsidRPr="00324F76">
        <w:rPr>
          <w:rFonts w:cs="Arial"/>
        </w:rPr>
        <w:t xml:space="preserve"> </w:t>
      </w:r>
      <w:r>
        <w:rPr>
          <w:rFonts w:cs="Arial"/>
        </w:rPr>
        <w:t xml:space="preserve">Ten tweede kunnen verbonden kosten worden verantwoord, bijvoorbeeld aan de hand van urenstaten </w:t>
      </w:r>
      <w:r w:rsidR="000B3A8C">
        <w:rPr>
          <w:rFonts w:cs="Arial"/>
        </w:rPr>
        <w:t>of</w:t>
      </w:r>
      <w:r>
        <w:rPr>
          <w:rFonts w:cs="Arial"/>
        </w:rPr>
        <w:t xml:space="preserve"> facturen van de medeoverheid. </w:t>
      </w:r>
      <w:r w:rsidRPr="00B945D0" w:rsidR="00475E4A">
        <w:t xml:space="preserve"> </w:t>
      </w:r>
    </w:p>
    <w:p w:rsidR="00475E4A" w:rsidP="00475E4A" w:rsidRDefault="00475E4A" w14:paraId="5983C14C" w14:textId="77777777">
      <w:pPr>
        <w:widowControl w:val="0"/>
        <w:autoSpaceDE w:val="0"/>
        <w:adjustRightInd w:val="0"/>
        <w:rPr>
          <w:rFonts w:cs="Arial"/>
          <w:i/>
          <w:iCs/>
        </w:rPr>
      </w:pPr>
    </w:p>
    <w:p w:rsidR="00475E4A" w:rsidP="00475E4A" w:rsidRDefault="00475E4A" w14:paraId="2E9B5D13" w14:textId="77777777">
      <w:pPr>
        <w:widowControl w:val="0"/>
        <w:autoSpaceDE w:val="0"/>
        <w:adjustRightInd w:val="0"/>
        <w:rPr>
          <w:rFonts w:cs="Arial"/>
          <w:i/>
          <w:iCs/>
        </w:rPr>
      </w:pPr>
      <w:r>
        <w:rPr>
          <w:rFonts w:cs="Arial"/>
          <w:i/>
          <w:iCs/>
        </w:rPr>
        <w:t>Artikel I, onderdeel D</w:t>
      </w:r>
    </w:p>
    <w:p w:rsidR="00475E4A" w:rsidP="00475E4A" w:rsidRDefault="00475E4A" w14:paraId="194E5AED" w14:textId="77777777">
      <w:pPr>
        <w:widowControl w:val="0"/>
        <w:autoSpaceDE w:val="0"/>
        <w:adjustRightInd w:val="0"/>
        <w:rPr>
          <w:rFonts w:cs="Arial"/>
        </w:rPr>
      </w:pPr>
    </w:p>
    <w:p w:rsidRPr="00213D56" w:rsidR="00475E4A" w:rsidP="00475E4A" w:rsidRDefault="00475E4A" w14:paraId="6E02F256" w14:textId="77777777">
      <w:pPr>
        <w:widowControl w:val="0"/>
        <w:autoSpaceDE w:val="0"/>
        <w:adjustRightInd w:val="0"/>
        <w:rPr>
          <w:rFonts w:cs="Arial"/>
        </w:rPr>
      </w:pPr>
      <w:r>
        <w:rPr>
          <w:rFonts w:cs="Arial"/>
        </w:rPr>
        <w:t xml:space="preserve">Artikel 7, tweede lid, is gewijzigd om de aanvraagperiode voor 2026 toe te voegen aan de regeling. Daarbij is zoveel mogelijk aangesloten bij de periode dat de regeling openstond in 2025. Er is daarbij rekening gehouden met de vakantieperiode voor de bouwsector. Latere sluiting van de aanvraagperiode is niet mogelijk met het oog op tijdige publicatie van de rijksbijdrageplafonds voor, en opening van, de aanvraagperiode in 2027. </w:t>
      </w:r>
    </w:p>
    <w:p w:rsidR="00475E4A" w:rsidP="00475E4A" w:rsidRDefault="00475E4A" w14:paraId="0217CEF2" w14:textId="77777777">
      <w:pPr>
        <w:widowControl w:val="0"/>
        <w:autoSpaceDE w:val="0"/>
        <w:adjustRightInd w:val="0"/>
        <w:rPr>
          <w:rFonts w:cs="Arial"/>
          <w:i/>
          <w:iCs/>
        </w:rPr>
      </w:pPr>
    </w:p>
    <w:p w:rsidR="00475E4A" w:rsidP="00475E4A" w:rsidRDefault="00475E4A" w14:paraId="666ADD93" w14:textId="77777777">
      <w:pPr>
        <w:widowControl w:val="0"/>
        <w:autoSpaceDE w:val="0"/>
        <w:adjustRightInd w:val="0"/>
        <w:rPr>
          <w:rFonts w:cs="Arial"/>
          <w:i/>
          <w:iCs/>
        </w:rPr>
      </w:pPr>
      <w:r>
        <w:rPr>
          <w:rFonts w:cs="Arial"/>
          <w:i/>
          <w:iCs/>
        </w:rPr>
        <w:t>Artikel I, onderdeel E</w:t>
      </w:r>
    </w:p>
    <w:p w:rsidR="00475E4A" w:rsidP="00475E4A" w:rsidRDefault="00475E4A" w14:paraId="2CC32B12" w14:textId="77777777">
      <w:pPr>
        <w:widowControl w:val="0"/>
        <w:autoSpaceDE w:val="0"/>
        <w:adjustRightInd w:val="0"/>
        <w:rPr>
          <w:rFonts w:cs="Arial"/>
        </w:rPr>
      </w:pPr>
    </w:p>
    <w:p w:rsidRPr="006D36CD" w:rsidR="00475E4A" w:rsidP="00475E4A" w:rsidRDefault="00475E4A" w14:paraId="565813C6" w14:textId="6384B4DD">
      <w:pPr>
        <w:widowControl w:val="0"/>
        <w:autoSpaceDE w:val="0"/>
        <w:adjustRightInd w:val="0"/>
        <w:rPr>
          <w:rFonts w:cs="Arial"/>
        </w:rPr>
      </w:pPr>
      <w:bookmarkStart w:name="_Hlk203562520" w:id="2"/>
      <w:r w:rsidRPr="006D36CD">
        <w:rPr>
          <w:rFonts w:cs="Arial"/>
        </w:rPr>
        <w:t>Om de administratieve lasten voor medeoverheden te verminderen</w:t>
      </w:r>
      <w:r w:rsidR="003E6FEA">
        <w:rPr>
          <w:rFonts w:cs="Arial"/>
        </w:rPr>
        <w:t>,</w:t>
      </w:r>
      <w:r w:rsidRPr="006D36CD">
        <w:rPr>
          <w:rFonts w:cs="Arial"/>
        </w:rPr>
        <w:t xml:space="preserve"> wordt er niet meer standaard bij iedere afgeronde bouwwerkzaamheid een evaluatieformulier opgevraagd.</w:t>
      </w:r>
      <w:bookmarkEnd w:id="2"/>
      <w:r w:rsidRPr="006D36CD">
        <w:rPr>
          <w:rFonts w:cs="Arial"/>
        </w:rPr>
        <w:t xml:space="preserve"> Dit gebeurt nu steekproefsgewijs op verzoek van RVO. D</w:t>
      </w:r>
      <w:r>
        <w:rPr>
          <w:rFonts w:cs="Arial"/>
        </w:rPr>
        <w:t>e evaluatie</w:t>
      </w:r>
      <w:r w:rsidRPr="006D36CD">
        <w:rPr>
          <w:rFonts w:cs="Arial"/>
        </w:rPr>
        <w:t xml:space="preserve"> kan zowel telefonisch als schriftelijk worden afgenomen aan de hand van het formulier dat daarvoor opgesteld is</w:t>
      </w:r>
      <w:r>
        <w:rPr>
          <w:rFonts w:cs="Arial"/>
        </w:rPr>
        <w:t xml:space="preserve"> door RVO</w:t>
      </w:r>
      <w:r w:rsidRPr="006D36CD">
        <w:rPr>
          <w:rFonts w:cs="Arial"/>
        </w:rPr>
        <w:t xml:space="preserve">. </w:t>
      </w:r>
    </w:p>
    <w:p w:rsidR="00475E4A" w:rsidP="00475E4A" w:rsidRDefault="00475E4A" w14:paraId="0BFB82A7" w14:textId="77777777">
      <w:pPr>
        <w:widowControl w:val="0"/>
        <w:autoSpaceDE w:val="0"/>
        <w:adjustRightInd w:val="0"/>
        <w:rPr>
          <w:rFonts w:cs="Arial"/>
          <w:i/>
          <w:iCs/>
        </w:rPr>
      </w:pPr>
    </w:p>
    <w:p w:rsidRPr="00506312" w:rsidR="00475E4A" w:rsidP="00475E4A" w:rsidRDefault="00475E4A" w14:paraId="4ACFED7A" w14:textId="77777777">
      <w:pPr>
        <w:widowControl w:val="0"/>
        <w:autoSpaceDE w:val="0"/>
        <w:adjustRightInd w:val="0"/>
        <w:rPr>
          <w:rFonts w:cs="Arial"/>
          <w:i/>
          <w:iCs/>
        </w:rPr>
      </w:pPr>
      <w:r w:rsidRPr="00506312">
        <w:rPr>
          <w:rFonts w:cs="Arial"/>
          <w:i/>
          <w:iCs/>
        </w:rPr>
        <w:t>Artikel I, onderdeel F</w:t>
      </w:r>
    </w:p>
    <w:p w:rsidR="00475E4A" w:rsidP="00475E4A" w:rsidRDefault="00475E4A" w14:paraId="25D62CA0" w14:textId="77777777">
      <w:pPr>
        <w:widowControl w:val="0"/>
        <w:autoSpaceDE w:val="0"/>
        <w:adjustRightInd w:val="0"/>
        <w:rPr>
          <w:rFonts w:cs="Arial"/>
        </w:rPr>
      </w:pPr>
    </w:p>
    <w:p w:rsidR="00475E4A" w:rsidP="00475E4A" w:rsidRDefault="00475E4A" w14:paraId="247ABEA8" w14:textId="17965A43">
      <w:pPr>
        <w:widowControl w:val="0"/>
        <w:autoSpaceDE w:val="0"/>
        <w:adjustRightInd w:val="0"/>
        <w:rPr>
          <w:rFonts w:cs="Arial"/>
        </w:rPr>
      </w:pPr>
      <w:r w:rsidRPr="00506312">
        <w:rPr>
          <w:rFonts w:cs="Arial"/>
        </w:rPr>
        <w:t xml:space="preserve">In bijlage 1 is de machinelijst opgenomen. In de machinelijst zijn enkele taalkundige aanpassingen gedaan. Verder vallen naast DC laadstations (gelijkstroom) nu ook AC laadstations (wisselstroom) binnen de reikwijdte van de regeling, vandaar dat in de machinelijst de algemene term ‘laadstation’ is opgenomen. Dit is ook nader toegelicht bij de wijziging van bijlage 3 hieronder. </w:t>
      </w:r>
      <w:r>
        <w:rPr>
          <w:rFonts w:cs="Arial"/>
        </w:rPr>
        <w:t>De code A2.11 is vervallen, dit is nu samengevoegd met code A2.7. Hiermee wordt aangesloten bij de formulering in de Subsidieregeling schoon en emissieloos bouwmaterieel</w:t>
      </w:r>
      <w:r w:rsidR="00F01EAD">
        <w:rPr>
          <w:rFonts w:cs="Arial"/>
        </w:rPr>
        <w:t xml:space="preserve"> (SSEB)</w:t>
      </w:r>
      <w:r>
        <w:rPr>
          <w:rFonts w:cs="Arial"/>
        </w:rPr>
        <w:t xml:space="preserve">. </w:t>
      </w:r>
      <w:r w:rsidR="00F01EAD">
        <w:rPr>
          <w:rFonts w:cs="Arial"/>
        </w:rPr>
        <w:t xml:space="preserve">De codes A2.14, B1.13 en B1.14 zijn nieuw toegevoegd om in lijn te blijven met de machinelijst van de SSEB. </w:t>
      </w:r>
      <w:r w:rsidRPr="00506312">
        <w:rPr>
          <w:rFonts w:cs="Arial"/>
        </w:rPr>
        <w:t>Zoals ook is toegelicht bij de wijziging van artikel 1, komen vanaf 2026 vrachtwagens zonder specifieke bouwgerelateerde carrosseriecodes in aanmerking voor een rijksbijdrage. Gelet op het aantal wijzigingen</w:t>
      </w:r>
      <w:r>
        <w:rPr>
          <w:rFonts w:cs="Arial"/>
        </w:rPr>
        <w:t xml:space="preserve">, </w:t>
      </w:r>
      <w:r w:rsidRPr="00506312">
        <w:rPr>
          <w:rFonts w:cs="Arial"/>
        </w:rPr>
        <w:t>is de</w:t>
      </w:r>
      <w:r>
        <w:rPr>
          <w:rFonts w:cs="Arial"/>
        </w:rPr>
        <w:t>ze</w:t>
      </w:r>
      <w:r w:rsidRPr="00506312">
        <w:rPr>
          <w:rFonts w:cs="Arial"/>
        </w:rPr>
        <w:t xml:space="preserve"> bijlage opnieuw vastgesteld door deze in zijn geheel te vervangen</w:t>
      </w:r>
      <w:r>
        <w:rPr>
          <w:rFonts w:cs="Arial"/>
        </w:rPr>
        <w:t xml:space="preserve"> door een nieuwe bijlage. </w:t>
      </w:r>
    </w:p>
    <w:p w:rsidR="00475E4A" w:rsidP="00475E4A" w:rsidRDefault="00475E4A" w14:paraId="13F10648" w14:textId="77777777">
      <w:pPr>
        <w:widowControl w:val="0"/>
        <w:autoSpaceDE w:val="0"/>
        <w:adjustRightInd w:val="0"/>
        <w:rPr>
          <w:rFonts w:cs="Arial"/>
          <w:i/>
          <w:iCs/>
        </w:rPr>
      </w:pPr>
    </w:p>
    <w:p w:rsidR="00475E4A" w:rsidP="00475E4A" w:rsidRDefault="00475E4A" w14:paraId="208AA411" w14:textId="77777777">
      <w:pPr>
        <w:widowControl w:val="0"/>
        <w:autoSpaceDE w:val="0"/>
        <w:adjustRightInd w:val="0"/>
        <w:rPr>
          <w:rFonts w:cs="Arial"/>
          <w:i/>
          <w:iCs/>
        </w:rPr>
      </w:pPr>
      <w:r>
        <w:rPr>
          <w:rFonts w:cs="Arial"/>
          <w:i/>
          <w:iCs/>
        </w:rPr>
        <w:t>Artikel I, onderdeel G</w:t>
      </w:r>
    </w:p>
    <w:p w:rsidR="00475E4A" w:rsidP="00475E4A" w:rsidRDefault="00475E4A" w14:paraId="01C4E497" w14:textId="77777777">
      <w:pPr>
        <w:widowControl w:val="0"/>
        <w:autoSpaceDE w:val="0"/>
        <w:adjustRightInd w:val="0"/>
        <w:rPr>
          <w:rFonts w:cs="Arial"/>
        </w:rPr>
      </w:pPr>
    </w:p>
    <w:p w:rsidR="00475E4A" w:rsidP="00475E4A" w:rsidRDefault="00475E4A" w14:paraId="7982221C" w14:textId="77777777">
      <w:pPr>
        <w:widowControl w:val="0"/>
        <w:autoSpaceDE w:val="0"/>
        <w:adjustRightInd w:val="0"/>
        <w:rPr>
          <w:rFonts w:cs="Arial"/>
        </w:rPr>
      </w:pPr>
      <w:r>
        <w:rPr>
          <w:rFonts w:cs="Arial"/>
        </w:rPr>
        <w:t xml:space="preserve">In bijlage 2 zijn de ondertekenaars van het convenant opgenomen. Nu het rijksbijdrageplafond per aanvrager in de regeling zelf is opgenomen, is de opzet van deze bijlage aangepast. Jaarlijks zullen hier de convenantpartijen geactualiseerd worden. </w:t>
      </w:r>
    </w:p>
    <w:p w:rsidR="00475E4A" w:rsidP="00475E4A" w:rsidRDefault="00475E4A" w14:paraId="1063814A" w14:textId="77777777">
      <w:pPr>
        <w:widowControl w:val="0"/>
        <w:autoSpaceDE w:val="0"/>
        <w:adjustRightInd w:val="0"/>
        <w:rPr>
          <w:rFonts w:cs="Arial"/>
          <w:i/>
          <w:iCs/>
        </w:rPr>
      </w:pPr>
    </w:p>
    <w:p w:rsidR="00475E4A" w:rsidP="00475E4A" w:rsidRDefault="00475E4A" w14:paraId="5463BAB0" w14:textId="77777777">
      <w:pPr>
        <w:widowControl w:val="0"/>
        <w:autoSpaceDE w:val="0"/>
        <w:adjustRightInd w:val="0"/>
        <w:rPr>
          <w:rFonts w:cs="Arial"/>
          <w:i/>
          <w:iCs/>
        </w:rPr>
      </w:pPr>
      <w:r>
        <w:rPr>
          <w:rFonts w:cs="Arial"/>
          <w:i/>
          <w:iCs/>
        </w:rPr>
        <w:t>Artikel I, onderdeel H</w:t>
      </w:r>
    </w:p>
    <w:p w:rsidR="00475E4A" w:rsidP="00475E4A" w:rsidRDefault="00475E4A" w14:paraId="10FDE4BB" w14:textId="77777777">
      <w:pPr>
        <w:widowControl w:val="0"/>
        <w:autoSpaceDE w:val="0"/>
        <w:adjustRightInd w:val="0"/>
        <w:rPr>
          <w:rFonts w:cs="Arial"/>
        </w:rPr>
      </w:pPr>
    </w:p>
    <w:p w:rsidRPr="00B30F02" w:rsidR="00475E4A" w:rsidP="00475E4A" w:rsidRDefault="00475E4A" w14:paraId="773C97E5" w14:textId="77777777">
      <w:pPr>
        <w:widowControl w:val="0"/>
        <w:autoSpaceDE w:val="0"/>
        <w:adjustRightInd w:val="0"/>
        <w:rPr>
          <w:rFonts w:cs="Arial"/>
        </w:rPr>
      </w:pPr>
      <w:r>
        <w:rPr>
          <w:rFonts w:cs="Arial"/>
        </w:rPr>
        <w:t xml:space="preserve">In bijlage 3 zijn de vergoedingstabellen voor het bepalen van </w:t>
      </w:r>
      <w:r w:rsidRPr="00506312">
        <w:rPr>
          <w:rFonts w:cs="Arial"/>
        </w:rPr>
        <w:t xml:space="preserve">de hoogte van de rijksbijdrage opgenomen, als bedoeld in artikel 6 van de regeling. Zoals is toegelicht in paragraaf 2 van het algemene deel van de toelichting zijn de bedragen per </w:t>
      </w:r>
      <w:r w:rsidRPr="00B30F02">
        <w:rPr>
          <w:rFonts w:cs="Arial"/>
        </w:rPr>
        <w:t>inzetdag in Tabel 1 van bijlage 3 verhoogd met 10% voor middelgrote bouwmachines en met 20% voor grote bouwmachines. Dit is gedaan op grond van feedback van gemeenten en provincies. Tabel 3 van bijlage 3 is ook gewijzigd. Vorig jaar is een vergoedingsbedrag geïntroduceerd voor mobiele laadinfrastructuur op bouwlocaties. Medeoverheden geven aan dat in veel gevallen ook kosten worden gemaakt voor het aanleggen van vaste laadinfrastructuur op of bij bouwlocaties of op permanente laadhubs die voor meerdere bouwprojecten tegelijk worden aangelegd. Daarom geldt het vergoedingsbedrag voortaan ook voor AC laadstations die voor de bouwwerkzaamheid nieuw op of bij de bouwlocatie zijn geïnstalleerd of deel uitmaken van een laadhub voor bouwprojecten. Het hoeft hierbij niet te gaan om laadhubs die uitsluitend voor bouwmachines worden gebruikt.</w:t>
      </w:r>
    </w:p>
    <w:p w:rsidRPr="00506312" w:rsidR="00475E4A" w:rsidP="00475E4A" w:rsidRDefault="00475E4A" w14:paraId="6A9C34B5" w14:textId="77777777">
      <w:pPr>
        <w:widowControl w:val="0"/>
        <w:autoSpaceDE w:val="0"/>
        <w:adjustRightInd w:val="0"/>
        <w:spacing w:line="240" w:lineRule="auto"/>
        <w:rPr>
          <w:rFonts w:cs="Times New Roman"/>
        </w:rPr>
      </w:pPr>
    </w:p>
    <w:p w:rsidRPr="00506312" w:rsidR="00475E4A" w:rsidP="00475E4A" w:rsidRDefault="00475E4A" w14:paraId="059F0229" w14:textId="77777777">
      <w:pPr>
        <w:widowControl w:val="0"/>
        <w:autoSpaceDE w:val="0"/>
        <w:adjustRightInd w:val="0"/>
        <w:spacing w:line="240" w:lineRule="auto"/>
        <w:rPr>
          <w:rFonts w:cs="Arial"/>
        </w:rPr>
      </w:pPr>
    </w:p>
    <w:p w:rsidR="00475E4A" w:rsidP="00475E4A" w:rsidRDefault="00475E4A" w14:paraId="4022A2C8" w14:textId="77777777">
      <w:r w:rsidRPr="003A4C78">
        <w:t>DE STAATSSECRETARIS VAN INFRASTRUCTUUR EN WATERSTAAT - OPENBAAR VERVOER EN MILIEU,</w:t>
      </w:r>
      <w:r w:rsidRPr="003A4C78">
        <w:br/>
      </w:r>
      <w:r>
        <w:br/>
      </w:r>
      <w:r>
        <w:br/>
      </w:r>
      <w:r>
        <w:br/>
      </w:r>
      <w:r>
        <w:br/>
      </w:r>
      <w:r w:rsidRPr="003A4C78">
        <w:br/>
        <w:t>A.A. Aartsen</w:t>
      </w:r>
    </w:p>
    <w:p w:rsidRPr="00475E4A" w:rsidR="00B34EBE" w:rsidP="008C42E8" w:rsidRDefault="00B34EBE" w14:paraId="0F28D091" w14:textId="56BB6EF8">
      <w:pPr>
        <w:rPr>
          <w:b/>
        </w:rPr>
      </w:pPr>
    </w:p>
    <w:sectPr w:rsidRPr="00475E4A" w:rsidR="00B34EBE">
      <w:headerReference w:type="default" r:id="rId8"/>
      <w:headerReference w:type="first" r:id="rId9"/>
      <w:pgSz w:w="11905" w:h="16837"/>
      <w:pgMar w:top="3188" w:right="2805" w:bottom="1155" w:left="1603"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73519" w14:textId="77777777" w:rsidR="00B03FF7" w:rsidRDefault="00B03FF7">
      <w:pPr>
        <w:spacing w:line="240" w:lineRule="auto"/>
      </w:pPr>
      <w:r>
        <w:separator/>
      </w:r>
    </w:p>
  </w:endnote>
  <w:endnote w:type="continuationSeparator" w:id="0">
    <w:p w14:paraId="7F7599CD" w14:textId="77777777" w:rsidR="00B03FF7" w:rsidRDefault="00B03F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B35B1" w14:textId="77777777" w:rsidR="00B03FF7" w:rsidRDefault="00B03FF7">
      <w:pPr>
        <w:spacing w:line="240" w:lineRule="auto"/>
      </w:pPr>
      <w:r>
        <w:separator/>
      </w:r>
    </w:p>
  </w:footnote>
  <w:footnote w:type="continuationSeparator" w:id="0">
    <w:p w14:paraId="099B0FF2" w14:textId="77777777" w:rsidR="00B03FF7" w:rsidRDefault="00B03FF7">
      <w:pPr>
        <w:spacing w:line="240" w:lineRule="auto"/>
      </w:pPr>
      <w:r>
        <w:continuationSeparator/>
      </w:r>
    </w:p>
  </w:footnote>
  <w:footnote w:id="1">
    <w:p w14:paraId="1D273285" w14:textId="77777777" w:rsidR="00475E4A" w:rsidRDefault="00475E4A" w:rsidP="00475E4A">
      <w:pPr>
        <w:pStyle w:val="FootnoteText"/>
      </w:pPr>
      <w:r>
        <w:rPr>
          <w:rStyle w:val="FootnoteReference"/>
        </w:rPr>
        <w:footnoteRef/>
      </w:r>
      <w:r>
        <w:t xml:space="preserve"> </w:t>
      </w:r>
      <w:r w:rsidRPr="004E2EC9">
        <w:rPr>
          <w:sz w:val="16"/>
          <w:szCs w:val="16"/>
        </w:rPr>
        <w:t>De bedragen uit de vergoedingstabel worden berekend exclusief btw. Dit is vanwege de samenhang met het BTW-compensatiefonds.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DFAC1" w14:textId="77777777" w:rsidR="00B34EBE" w:rsidRDefault="00637A89">
    <w:pPr>
      <w:pStyle w:val="MarginlessContainer"/>
    </w:pPr>
    <w:r>
      <w:rPr>
        <w:noProof/>
        <w:lang w:val="en-GB" w:eastAsia="en-GB"/>
      </w:rPr>
      <mc:AlternateContent>
        <mc:Choice Requires="wps">
          <w:drawing>
            <wp:anchor distT="0" distB="0" distL="0" distR="0" simplePos="0" relativeHeight="251652608" behindDoc="0" locked="1" layoutInCell="1" allowOverlap="1" wp14:anchorId="008DA23F" wp14:editId="5495F25F">
              <wp:simplePos x="0" y="0"/>
              <wp:positionH relativeFrom="page">
                <wp:posOffset>5921375</wp:posOffset>
              </wp:positionH>
              <wp:positionV relativeFrom="page">
                <wp:posOffset>2026285</wp:posOffset>
              </wp:positionV>
              <wp:extent cx="1257300" cy="7934325"/>
              <wp:effectExtent l="0" t="0" r="0" b="0"/>
              <wp:wrapNone/>
              <wp:docPr id="8" name="Colofon_pag_2"/>
              <wp:cNvGraphicFramePr/>
              <a:graphic xmlns:a="http://schemas.openxmlformats.org/drawingml/2006/main">
                <a:graphicData uri="http://schemas.microsoft.com/office/word/2010/wordprocessingShape">
                  <wps:wsp>
                    <wps:cNvSpPr txBox="1"/>
                    <wps:spPr>
                      <a:xfrm>
                        <a:off x="0" y="0"/>
                        <a:ext cx="1257300" cy="7934325"/>
                      </a:xfrm>
                      <a:prstGeom prst="rect">
                        <a:avLst/>
                      </a:prstGeom>
                      <a:noFill/>
                    </wps:spPr>
                    <wps:txbx>
                      <w:txbxContent>
                        <w:p w14:paraId="3D3FA563" w14:textId="77777777" w:rsidR="00DF17BB" w:rsidRDefault="00DF17BB"/>
                      </w:txbxContent>
                    </wps:txbx>
                    <wps:bodyPr vert="horz" wrap="square" lIns="0" tIns="0" rIns="0" bIns="0" anchor="t" anchorCtr="0"/>
                  </wps:wsp>
                </a:graphicData>
              </a:graphic>
            </wp:anchor>
          </w:drawing>
        </mc:Choice>
        <mc:Fallback>
          <w:pict>
            <v:shapetype w14:anchorId="008DA23F" id="_x0000_t202" coordsize="21600,21600" o:spt="202" path="m,l,21600r21600,l21600,xe">
              <v:stroke joinstyle="miter"/>
              <v:path gradientshapeok="t" o:connecttype="rect"/>
            </v:shapetype>
            <v:shape id="Colofon_pag_2" o:spid="_x0000_s1026" type="#_x0000_t202" style="position:absolute;margin-left:466.25pt;margin-top:159.55pt;width:99pt;height:624.7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" filled="f" stroked="f">
              <v:textbox inset="0,0,0,0">
                <w:txbxContent>
                  <w:p w14:paraId="3D3FA563" w14:textId="77777777" w:rsidR="00DF17BB" w:rsidRDefault="00DF17B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7801C27" wp14:editId="28C4C9DA">
              <wp:simplePos x="0" y="0"/>
              <wp:positionH relativeFrom="page">
                <wp:posOffset>4013835</wp:posOffset>
              </wp:positionH>
              <wp:positionV relativeFrom="page">
                <wp:posOffset>0</wp:posOffset>
              </wp:positionV>
              <wp:extent cx="2339975" cy="1336675"/>
              <wp:effectExtent l="0" t="0" r="0" b="0"/>
              <wp:wrapNone/>
              <wp:docPr id="9" name="Region 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095FE25" w14:textId="77777777" w:rsidR="00B34EBE" w:rsidRDefault="00637A89">
                          <w:pPr>
                            <w:pStyle w:val="MarginlessContainer"/>
                          </w:pPr>
                          <w:r>
                            <w:rPr>
                              <w:noProof/>
                              <w:lang w:val="en-GB" w:eastAsia="en-GB"/>
                            </w:rPr>
                            <w:drawing>
                              <wp:inline distT="0" distB="0" distL="0" distR="0" wp14:anchorId="35494FD6" wp14:editId="58888481">
                                <wp:extent cx="2339975" cy="1582834"/>
                                <wp:effectExtent l="0" t="0" r="0" b="0"/>
                                <wp:docPr id="10" name="HBJZ_Ministerie_van_IenM"/>
                                <wp:cNvGraphicFramePr/>
                                <a:graphic xmlns:a="http://schemas.openxmlformats.org/drawingml/2006/main">
                                  <a:graphicData uri="http://schemas.openxmlformats.org/drawingml/2006/picture">
                                    <pic:pic xmlns:pic="http://schemas.openxmlformats.org/drawingml/2006/picture">
                                      <pic:nvPicPr>
                                        <pic:cNvPr id="10" name="HBJZ_Ministerie_van_IenM"/>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7801C27" id="Region 5" o:spid="_x0000_s1027" type="#_x0000_t202" style="position:absolute;margin-left:316.05pt;margin-top:0;width:184.25pt;height:105.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Djgp88qAEAADgDAAAOAAAAAAAAAAAAAAAAAC4CAABkcnMvZTJvRG9jLnhtbFBLAQItABQA&#10;BgAIAAAAIQBHoc0o3QAAAAkBAAAPAAAAAAAAAAAAAAAAAAIEAABkcnMvZG93bnJldi54bWxQSwUG&#10;AAAAAAQABADzAAAADAUAAAAA&#10;" filled="f" stroked="f">
              <v:textbox inset="0,0,0,0">
                <w:txbxContent>
                  <w:p w14:paraId="4095FE25" w14:textId="77777777" w:rsidR="00B34EBE" w:rsidRDefault="00637A89">
                    <w:pPr>
                      <w:pStyle w:val="MarginlessContainer"/>
                    </w:pPr>
                    <w:r>
                      <w:rPr>
                        <w:noProof/>
                        <w:lang w:val="en-GB" w:eastAsia="en-GB"/>
                      </w:rPr>
                      <w:drawing>
                        <wp:inline distT="0" distB="0" distL="0" distR="0" wp14:anchorId="35494FD6" wp14:editId="58888481">
                          <wp:extent cx="2339975" cy="1582834"/>
                          <wp:effectExtent l="0" t="0" r="0" b="0"/>
                          <wp:docPr id="10" name="HBJZ_Ministerie_van_IenM"/>
                          <wp:cNvGraphicFramePr/>
                          <a:graphic xmlns:a="http://schemas.openxmlformats.org/drawingml/2006/main">
                            <a:graphicData uri="http://schemas.openxmlformats.org/drawingml/2006/picture">
                              <pic:pic xmlns:pic="http://schemas.openxmlformats.org/drawingml/2006/picture">
                                <pic:nvPicPr>
                                  <pic:cNvPr id="10" name="HBJZ_Ministerie_van_IenM"/>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0808730" wp14:editId="7DCF11DA">
              <wp:simplePos x="0" y="0"/>
              <wp:positionH relativeFrom="page">
                <wp:posOffset>1007744</wp:posOffset>
              </wp:positionH>
              <wp:positionV relativeFrom="page">
                <wp:posOffset>1198245</wp:posOffset>
              </wp:positionV>
              <wp:extent cx="2383155" cy="282575"/>
              <wp:effectExtent l="0" t="0" r="0" b="0"/>
              <wp:wrapNone/>
              <wp:docPr id="11" name="Merking tweed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1E87CC6B" w14:textId="77777777" w:rsidR="00DF17BB" w:rsidRDefault="00DF17BB"/>
                      </w:txbxContent>
                    </wps:txbx>
                    <wps:bodyPr vert="horz" wrap="square" lIns="0" tIns="0" rIns="0" bIns="0" anchor="t" anchorCtr="0"/>
                  </wps:wsp>
                </a:graphicData>
              </a:graphic>
            </wp:anchor>
          </w:drawing>
        </mc:Choice>
        <mc:Fallback>
          <w:pict>
            <v:shape w14:anchorId="20808730" id="Merking tweede pagina" o:spid="_x0000_s1028" type="#_x0000_t202" style="position:absolute;margin-left:79.35pt;margin-top:94.35pt;width:187.65pt;height:2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" filled="f" stroked="f">
              <v:textbox inset="0,0,0,0">
                <w:txbxContent>
                  <w:p w14:paraId="1E87CC6B" w14:textId="77777777" w:rsidR="00DF17BB" w:rsidRDefault="00DF17B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5680" behindDoc="0" locked="1" layoutInCell="1" allowOverlap="1" wp14:anchorId="0BECDB19" wp14:editId="189E0E26">
              <wp:simplePos x="0" y="0"/>
              <wp:positionH relativeFrom="page">
                <wp:posOffset>1007744</wp:posOffset>
              </wp:positionH>
              <wp:positionV relativeFrom="page">
                <wp:posOffset>10223500</wp:posOffset>
              </wp:positionV>
              <wp:extent cx="1799589" cy="179705"/>
              <wp:effectExtent l="0" t="0" r="0" b="0"/>
              <wp:wrapNone/>
              <wp:docPr id="12" name="Rubricering tweed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2A1D386F" w14:textId="77777777" w:rsidR="00DF17BB" w:rsidRDefault="00DF17BB"/>
                      </w:txbxContent>
                    </wps:txbx>
                    <wps:bodyPr vert="horz" wrap="square" lIns="0" tIns="0" rIns="0" bIns="0" anchor="t" anchorCtr="0"/>
                  </wps:wsp>
                </a:graphicData>
              </a:graphic>
            </wp:anchor>
          </w:drawing>
        </mc:Choice>
        <mc:Fallback>
          <w:pict>
            <v:shape w14:anchorId="0BECDB19" id="Rubricering tweede pagina" o:spid="_x0000_s1029" type="#_x0000_t202" style="position:absolute;margin-left:79.35pt;margin-top:805pt;width:141.7pt;height:14.1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" filled="f" stroked="f">
              <v:textbox inset="0,0,0,0">
                <w:txbxContent>
                  <w:p w14:paraId="2A1D386F" w14:textId="77777777" w:rsidR="00DF17BB" w:rsidRDefault="00DF17B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29186E6" wp14:editId="23F0D6C9">
              <wp:simplePos x="0" y="0"/>
              <wp:positionH relativeFrom="page">
                <wp:posOffset>5921375</wp:posOffset>
              </wp:positionH>
              <wp:positionV relativeFrom="page">
                <wp:posOffset>10223500</wp:posOffset>
              </wp:positionV>
              <wp:extent cx="1257300" cy="180975"/>
              <wp:effectExtent l="0" t="0" r="0" b="0"/>
              <wp:wrapNone/>
              <wp:docPr id="13" name="Paginanummer vervolg"/>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B66DB63" w14:textId="400C3D61" w:rsidR="00B34EBE" w:rsidRDefault="00637A89">
                          <w:pPr>
                            <w:pStyle w:val="Referentiegegevens"/>
                          </w:pPr>
                          <w:r>
                            <w:t xml:space="preserve">Pagina </w:t>
                          </w:r>
                          <w:r>
                            <w:fldChar w:fldCharType="begin"/>
                          </w:r>
                          <w:r>
                            <w:instrText>PAGE</w:instrText>
                          </w:r>
                          <w:r>
                            <w:fldChar w:fldCharType="separate"/>
                          </w:r>
                          <w:r w:rsidR="001A6B30">
                            <w:rPr>
                              <w:noProof/>
                            </w:rPr>
                            <w:t>2</w:t>
                          </w:r>
                          <w:r>
                            <w:fldChar w:fldCharType="end"/>
                          </w:r>
                          <w:r>
                            <w:t xml:space="preserve"> van </w:t>
                          </w:r>
                          <w:r>
                            <w:fldChar w:fldCharType="begin"/>
                          </w:r>
                          <w:r>
                            <w:instrText>NUMPAGES</w:instrText>
                          </w:r>
                          <w:r>
                            <w:fldChar w:fldCharType="separate"/>
                          </w:r>
                          <w:r w:rsidR="001A6B30">
                            <w:rPr>
                              <w:noProof/>
                            </w:rPr>
                            <w:t>2</w:t>
                          </w:r>
                          <w:r>
                            <w:fldChar w:fldCharType="end"/>
                          </w:r>
                        </w:p>
                      </w:txbxContent>
                    </wps:txbx>
                    <wps:bodyPr vert="horz" wrap="square" lIns="0" tIns="0" rIns="0" bIns="0" anchor="t" anchorCtr="0"/>
                  </wps:wsp>
                </a:graphicData>
              </a:graphic>
            </wp:anchor>
          </w:drawing>
        </mc:Choice>
        <mc:Fallback>
          <w:pict>
            <v:shape w14:anchorId="029186E6" id="Paginanummer vervolg" o:spid="_x0000_s1030"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" filled="f" stroked="f">
              <v:textbox inset="0,0,0,0">
                <w:txbxContent>
                  <w:p w14:paraId="3B66DB63" w14:textId="400C3D61" w:rsidR="00B34EBE" w:rsidRDefault="00637A89">
                    <w:pPr>
                      <w:pStyle w:val="Referentiegegevens"/>
                    </w:pPr>
                    <w:r>
                      <w:t xml:space="preserve">Pagina </w:t>
                    </w:r>
                    <w:r>
                      <w:fldChar w:fldCharType="begin"/>
                    </w:r>
                    <w:r>
                      <w:instrText>PAGE</w:instrText>
                    </w:r>
                    <w:r>
                      <w:fldChar w:fldCharType="separate"/>
                    </w:r>
                    <w:r w:rsidR="001A6B30">
                      <w:rPr>
                        <w:noProof/>
                      </w:rPr>
                      <w:t>2</w:t>
                    </w:r>
                    <w:r>
                      <w:fldChar w:fldCharType="end"/>
                    </w:r>
                    <w:r>
                      <w:t xml:space="preserve"> van </w:t>
                    </w:r>
                    <w:r>
                      <w:fldChar w:fldCharType="begin"/>
                    </w:r>
                    <w:r>
                      <w:instrText>NUMPAGES</w:instrText>
                    </w:r>
                    <w:r>
                      <w:fldChar w:fldCharType="separate"/>
                    </w:r>
                    <w:r w:rsidR="001A6B30">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ACC1F" w14:textId="77777777" w:rsidR="00B34EBE" w:rsidRDefault="00637A89">
    <w:pPr>
      <w:pStyle w:val="MarginlessContainer"/>
    </w:pPr>
    <w:r>
      <w:rPr>
        <w:noProof/>
        <w:lang w:val="en-GB" w:eastAsia="en-GB"/>
      </w:rPr>
      <mc:AlternateContent>
        <mc:Choice Requires="wps">
          <w:drawing>
            <wp:anchor distT="0" distB="0" distL="0" distR="0" simplePos="0" relativeHeight="251657728" behindDoc="0" locked="1" layoutInCell="1" allowOverlap="1" wp14:anchorId="696C9D75" wp14:editId="06E18A71">
              <wp:simplePos x="0" y="0"/>
              <wp:positionH relativeFrom="page">
                <wp:posOffset>3545840</wp:posOffset>
              </wp:positionH>
              <wp:positionV relativeFrom="page">
                <wp:posOffset>0</wp:posOffset>
              </wp:positionV>
              <wp:extent cx="466090" cy="1332865"/>
              <wp:effectExtent l="0" t="0" r="0" b="0"/>
              <wp:wrapNone/>
              <wp:docPr id="1" name="Logo_IenM"/>
              <wp:cNvGraphicFramePr/>
              <a:graphic xmlns:a="http://schemas.openxmlformats.org/drawingml/2006/main">
                <a:graphicData uri="http://schemas.microsoft.com/office/word/2010/wordprocessingShape">
                  <wps:wsp>
                    <wps:cNvSpPr txBox="1"/>
                    <wps:spPr>
                      <a:xfrm>
                        <a:off x="0" y="0"/>
                        <a:ext cx="466090" cy="1332865"/>
                      </a:xfrm>
                      <a:prstGeom prst="rect">
                        <a:avLst/>
                      </a:prstGeom>
                      <a:noFill/>
                    </wps:spPr>
                    <wps:txbx>
                      <w:txbxContent>
                        <w:p w14:paraId="060494C6" w14:textId="77777777" w:rsidR="00DF17BB" w:rsidRDefault="00DF17BB"/>
                      </w:txbxContent>
                    </wps:txbx>
                    <wps:bodyPr vert="horz" wrap="square" lIns="0" tIns="0" rIns="0" bIns="0" anchor="t" anchorCtr="0"/>
                  </wps:wsp>
                </a:graphicData>
              </a:graphic>
            </wp:anchor>
          </w:drawing>
        </mc:Choice>
        <mc:Fallback>
          <w:pict>
            <v:shapetype w14:anchorId="696C9D75" id="_x0000_t202" coordsize="21600,21600" o:spt="202" path="m,l,21600r21600,l21600,xe">
              <v:stroke joinstyle="miter"/>
              <v:path gradientshapeok="t" o:connecttype="rect"/>
            </v:shapetype>
            <v:shape id="Logo_IenM" o:spid="_x0000_s1031" type="#_x0000_t202" style="position:absolute;margin-left:279.2pt;margin-top:0;width:36.7pt;height:104.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" filled="f" stroked="f">
              <v:textbox inset="0,0,0,0">
                <w:txbxContent>
                  <w:p w14:paraId="060494C6" w14:textId="77777777" w:rsidR="00DF17BB" w:rsidRDefault="00DF17B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588CAF9" wp14:editId="3BDF7598">
              <wp:simplePos x="0" y="0"/>
              <wp:positionH relativeFrom="page">
                <wp:posOffset>4013835</wp:posOffset>
              </wp:positionH>
              <wp:positionV relativeFrom="page">
                <wp:posOffset>0</wp:posOffset>
              </wp:positionV>
              <wp:extent cx="2339975" cy="1336675"/>
              <wp:effectExtent l="0" t="0" r="0" b="0"/>
              <wp:wrapNone/>
              <wp:docPr id="2" name="Woordmerk_IenM"/>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B2F162D" w14:textId="77777777" w:rsidR="00B34EBE" w:rsidRDefault="00637A89">
                          <w:pPr>
                            <w:pStyle w:val="MarginlessContainer"/>
                          </w:pPr>
                          <w:r>
                            <w:rPr>
                              <w:noProof/>
                              <w:lang w:val="en-GB" w:eastAsia="en-GB"/>
                            </w:rPr>
                            <w:drawing>
                              <wp:inline distT="0" distB="0" distL="0" distR="0" wp14:anchorId="085038CF" wp14:editId="08A01EEA">
                                <wp:extent cx="2339975" cy="1582834"/>
                                <wp:effectExtent l="0" t="0" r="0" b="0"/>
                                <wp:docPr id="3" name="HBJZ_Ministerie_van_IenM"/>
                                <wp:cNvGraphicFramePr/>
                                <a:graphic xmlns:a="http://schemas.openxmlformats.org/drawingml/2006/main">
                                  <a:graphicData uri="http://schemas.openxmlformats.org/drawingml/2006/picture">
                                    <pic:pic xmlns:pic="http://schemas.openxmlformats.org/drawingml/2006/picture">
                                      <pic:nvPicPr>
                                        <pic:cNvPr id="3" name="HBJZ_Ministerie_van_IenM"/>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588CAF9" id="Woordmerk_IenM" o:spid="_x0000_s1032" type="#_x0000_t202" style="position:absolute;margin-left:316.05pt;margin-top:0;width:184.25pt;height:105.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" filled="f" stroked="f">
              <v:textbox inset="0,0,0,0">
                <w:txbxContent>
                  <w:p w14:paraId="4B2F162D" w14:textId="77777777" w:rsidR="00B34EBE" w:rsidRDefault="00637A89">
                    <w:pPr>
                      <w:pStyle w:val="MarginlessContainer"/>
                    </w:pPr>
                    <w:r>
                      <w:rPr>
                        <w:noProof/>
                        <w:lang w:val="en-GB" w:eastAsia="en-GB"/>
                      </w:rPr>
                      <w:drawing>
                        <wp:inline distT="0" distB="0" distL="0" distR="0" wp14:anchorId="085038CF" wp14:editId="08A01EEA">
                          <wp:extent cx="2339975" cy="1582834"/>
                          <wp:effectExtent l="0" t="0" r="0" b="0"/>
                          <wp:docPr id="3" name="HBJZ_Ministerie_van_IenM"/>
                          <wp:cNvGraphicFramePr/>
                          <a:graphic xmlns:a="http://schemas.openxmlformats.org/drawingml/2006/main">
                            <a:graphicData uri="http://schemas.openxmlformats.org/drawingml/2006/picture">
                              <pic:pic xmlns:pic="http://schemas.openxmlformats.org/drawingml/2006/picture">
                                <pic:nvPicPr>
                                  <pic:cNvPr id="3" name="HBJZ_Ministerie_van_IenM"/>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6AF1879" wp14:editId="064A7BAE">
              <wp:simplePos x="0" y="0"/>
              <wp:positionH relativeFrom="page">
                <wp:posOffset>5921375</wp:posOffset>
              </wp:positionH>
              <wp:positionV relativeFrom="page">
                <wp:posOffset>2026285</wp:posOffset>
              </wp:positionV>
              <wp:extent cx="1257300" cy="7934325"/>
              <wp:effectExtent l="0" t="0" r="0" b="0"/>
              <wp:wrapNone/>
              <wp:docPr id="4" name="Colofon"/>
              <wp:cNvGraphicFramePr/>
              <a:graphic xmlns:a="http://schemas.openxmlformats.org/drawingml/2006/main">
                <a:graphicData uri="http://schemas.microsoft.com/office/word/2010/wordprocessingShape">
                  <wps:wsp>
                    <wps:cNvSpPr txBox="1"/>
                    <wps:spPr>
                      <a:xfrm>
                        <a:off x="0" y="0"/>
                        <a:ext cx="1257300" cy="7934325"/>
                      </a:xfrm>
                      <a:prstGeom prst="rect">
                        <a:avLst/>
                      </a:prstGeom>
                      <a:noFill/>
                    </wps:spPr>
                    <wps:txbx>
                      <w:txbxContent>
                        <w:p w14:paraId="0FA4F95A" w14:textId="77777777" w:rsidR="00B34EBE" w:rsidRDefault="00637A89">
                          <w:pPr>
                            <w:pStyle w:val="Verdana65bold"/>
                          </w:pPr>
                          <w:r>
                            <w:t xml:space="preserve">HOOFDDIRECTIE  BESTUURLIJKE EN JURIDISCHE ZAKEN </w:t>
                          </w:r>
                        </w:p>
                      </w:txbxContent>
                    </wps:txbx>
                    <wps:bodyPr vert="horz" wrap="square" lIns="0" tIns="0" rIns="0" bIns="0" anchor="t" anchorCtr="0"/>
                  </wps:wsp>
                </a:graphicData>
              </a:graphic>
            </wp:anchor>
          </w:drawing>
        </mc:Choice>
        <mc:Fallback>
          <w:pict>
            <v:shape w14:anchorId="06AF1879" id="Colofon" o:spid="_x0000_s1033" type="#_x0000_t202" style="position:absolute;margin-left:466.25pt;margin-top:159.55pt;width:99pt;height:624.7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" filled="f" stroked="f">
              <v:textbox inset="0,0,0,0">
                <w:txbxContent>
                  <w:p w14:paraId="0FA4F95A" w14:textId="77777777" w:rsidR="00B34EBE" w:rsidRDefault="00637A89">
                    <w:pPr>
                      <w:pStyle w:val="Verdana65bold"/>
                    </w:pPr>
                    <w:r>
                      <w:t xml:space="preserve">HOOFDDIRECTIE  BESTUURLIJKE EN JURIDISCHE ZAKEN </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2776BA5" wp14:editId="6A6983F0">
              <wp:simplePos x="0" y="0"/>
              <wp:positionH relativeFrom="page">
                <wp:posOffset>1007744</wp:posOffset>
              </wp:positionH>
              <wp:positionV relativeFrom="page">
                <wp:posOffset>1198245</wp:posOffset>
              </wp:positionV>
              <wp:extent cx="2383155" cy="282575"/>
              <wp:effectExtent l="0" t="0" r="0" b="0"/>
              <wp:wrapNone/>
              <wp:docPr id="5" name="Merking eerst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353276B4" w14:textId="77777777" w:rsidR="00DF17BB" w:rsidRDefault="00DF17BB"/>
                      </w:txbxContent>
                    </wps:txbx>
                    <wps:bodyPr vert="horz" wrap="square" lIns="0" tIns="0" rIns="0" bIns="0" anchor="t" anchorCtr="0"/>
                  </wps:wsp>
                </a:graphicData>
              </a:graphic>
            </wp:anchor>
          </w:drawing>
        </mc:Choice>
        <mc:Fallback>
          <w:pict>
            <v:shape w14:anchorId="72776BA5" id="Merking eerste pagina" o:spid="_x0000_s1034" type="#_x0000_t202" style="position:absolute;margin-left:79.35pt;margin-top:94.35pt;width:187.65pt;height:22.2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" filled="f" stroked="f">
              <v:textbox inset="0,0,0,0">
                <w:txbxContent>
                  <w:p w14:paraId="353276B4" w14:textId="77777777" w:rsidR="00DF17BB" w:rsidRDefault="00DF17B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CF776B6" wp14:editId="6C920CDD">
              <wp:simplePos x="0" y="0"/>
              <wp:positionH relativeFrom="page">
                <wp:posOffset>1007744</wp:posOffset>
              </wp:positionH>
              <wp:positionV relativeFrom="page">
                <wp:posOffset>10223500</wp:posOffset>
              </wp:positionV>
              <wp:extent cx="1799589" cy="179705"/>
              <wp:effectExtent l="0" t="0" r="0" b="0"/>
              <wp:wrapNone/>
              <wp:docPr id="6" name="Rubricering eerst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7253EDD3" w14:textId="77777777" w:rsidR="00DF17BB" w:rsidRDefault="00DF17BB"/>
                      </w:txbxContent>
                    </wps:txbx>
                    <wps:bodyPr vert="horz" wrap="square" lIns="0" tIns="0" rIns="0" bIns="0" anchor="t" anchorCtr="0"/>
                  </wps:wsp>
                </a:graphicData>
              </a:graphic>
            </wp:anchor>
          </w:drawing>
        </mc:Choice>
        <mc:Fallback>
          <w:pict>
            <v:shape w14:anchorId="6CF776B6" id="Rubricering eerste pagina" o:spid="_x0000_s1035" type="#_x0000_t202" style="position:absolute;margin-left:79.35pt;margin-top:805pt;width:141.7pt;height:14.1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" filled="f" stroked="f">
              <v:textbox inset="0,0,0,0">
                <w:txbxContent>
                  <w:p w14:paraId="7253EDD3" w14:textId="77777777" w:rsidR="00DF17BB" w:rsidRDefault="00DF17B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A047817" wp14:editId="587FE34B">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761968C" w14:textId="79A51C7F" w:rsidR="00B34EBE" w:rsidRDefault="00637A89">
                          <w:pPr>
                            <w:pStyle w:val="Referentiegegevens"/>
                          </w:pPr>
                          <w:r>
                            <w:t xml:space="preserve">Pagina </w:t>
                          </w:r>
                          <w:r>
                            <w:fldChar w:fldCharType="begin"/>
                          </w:r>
                          <w:r>
                            <w:instrText>PAGE</w:instrText>
                          </w:r>
                          <w:r>
                            <w:fldChar w:fldCharType="separate"/>
                          </w:r>
                          <w:r w:rsidR="001A6B30">
                            <w:rPr>
                              <w:noProof/>
                            </w:rPr>
                            <w:t>1</w:t>
                          </w:r>
                          <w:r>
                            <w:fldChar w:fldCharType="end"/>
                          </w:r>
                          <w:r>
                            <w:t xml:space="preserve"> van </w:t>
                          </w:r>
                          <w:r>
                            <w:fldChar w:fldCharType="begin"/>
                          </w:r>
                          <w:r>
                            <w:instrText>NUMPAGES</w:instrText>
                          </w:r>
                          <w:r>
                            <w:fldChar w:fldCharType="separate"/>
                          </w:r>
                          <w:r w:rsidR="001A6B30">
                            <w:rPr>
                              <w:noProof/>
                            </w:rPr>
                            <w:t>1</w:t>
                          </w:r>
                          <w:r>
                            <w:fldChar w:fldCharType="end"/>
                          </w:r>
                        </w:p>
                      </w:txbxContent>
                    </wps:txbx>
                    <wps:bodyPr vert="horz" wrap="square" lIns="0" tIns="0" rIns="0" bIns="0" anchor="t" anchorCtr="0"/>
                  </wps:wsp>
                </a:graphicData>
              </a:graphic>
            </wp:anchor>
          </w:drawing>
        </mc:Choice>
        <mc:Fallback>
          <w:pict>
            <v:shape w14:anchorId="3A047817" id="Paginanummer" o:spid="_x0000_s1036" type="#_x0000_t202" style="position:absolute;margin-left:466.25pt;margin-top:805pt;width:99pt;height:14.2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D1NJ26sBAAA8AwAADgAAAAAAAAAAAAAAAAAuAgAAZHJzL2Uyb0RvYy54bWxQ&#10;SwECLQAUAAYACAAAACEAWk66ieEAAAAOAQAADwAAAAAAAAAAAAAAAAAFBAAAZHJzL2Rvd25yZXYu&#10;eG1sUEsFBgAAAAAEAAQA8wAAABMFAAAAAA==&#10;" filled="f" stroked="f">
              <v:textbox inset="0,0,0,0">
                <w:txbxContent>
                  <w:p w14:paraId="2761968C" w14:textId="79A51C7F" w:rsidR="00B34EBE" w:rsidRDefault="00637A89">
                    <w:pPr>
                      <w:pStyle w:val="Referentiegegevens"/>
                    </w:pPr>
                    <w:r>
                      <w:t xml:space="preserve">Pagina </w:t>
                    </w:r>
                    <w:r>
                      <w:fldChar w:fldCharType="begin"/>
                    </w:r>
                    <w:r>
                      <w:instrText>PAGE</w:instrText>
                    </w:r>
                    <w:r>
                      <w:fldChar w:fldCharType="separate"/>
                    </w:r>
                    <w:r w:rsidR="001A6B30">
                      <w:rPr>
                        <w:noProof/>
                      </w:rPr>
                      <w:t>1</w:t>
                    </w:r>
                    <w:r>
                      <w:fldChar w:fldCharType="end"/>
                    </w:r>
                    <w:r>
                      <w:t xml:space="preserve"> van </w:t>
                    </w:r>
                    <w:r>
                      <w:fldChar w:fldCharType="begin"/>
                    </w:r>
                    <w:r>
                      <w:instrText>NUMPAGES</w:instrText>
                    </w:r>
                    <w:r>
                      <w:fldChar w:fldCharType="separate"/>
                    </w:r>
                    <w:r w:rsidR="001A6B30">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7979F6"/>
    <w:multiLevelType w:val="multilevel"/>
    <w:tmpl w:val="143D9307"/>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B81E832"/>
    <w:multiLevelType w:val="multilevel"/>
    <w:tmpl w:val="923BD4E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C47A65C"/>
    <w:multiLevelType w:val="multilevel"/>
    <w:tmpl w:val="8A3D662F"/>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E7FD698"/>
    <w:multiLevelType w:val="multilevel"/>
    <w:tmpl w:val="0737A7F8"/>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336637C"/>
    <w:multiLevelType w:val="multilevel"/>
    <w:tmpl w:val="B754303E"/>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E7FDA76"/>
    <w:multiLevelType w:val="multilevel"/>
    <w:tmpl w:val="A7F62250"/>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187053A"/>
    <w:multiLevelType w:val="multilevel"/>
    <w:tmpl w:val="B02DB848"/>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1F7B854"/>
    <w:multiLevelType w:val="multilevel"/>
    <w:tmpl w:val="2FC5B50C"/>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D97F626"/>
    <w:multiLevelType w:val="multilevel"/>
    <w:tmpl w:val="942A3416"/>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03266F4"/>
    <w:multiLevelType w:val="multilevel"/>
    <w:tmpl w:val="9A9E6EC0"/>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9E37930"/>
    <w:multiLevelType w:val="multilevel"/>
    <w:tmpl w:val="02506C66"/>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F945AD3"/>
    <w:multiLevelType w:val="multilevel"/>
    <w:tmpl w:val="A4E9DDB6"/>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051DF59"/>
    <w:multiLevelType w:val="multilevel"/>
    <w:tmpl w:val="377D4517"/>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3CD5DF8"/>
    <w:multiLevelType w:val="multilevel"/>
    <w:tmpl w:val="CFF36DD2"/>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979724A"/>
    <w:multiLevelType w:val="hybridMultilevel"/>
    <w:tmpl w:val="E1D658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C3C8C9D"/>
    <w:multiLevelType w:val="multilevel"/>
    <w:tmpl w:val="1AADC22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476C6E"/>
    <w:multiLevelType w:val="hybridMultilevel"/>
    <w:tmpl w:val="FFDA14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F23D5A7"/>
    <w:multiLevelType w:val="multilevel"/>
    <w:tmpl w:val="C3D21F53"/>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BF1DEC"/>
    <w:multiLevelType w:val="multilevel"/>
    <w:tmpl w:val="00ED95F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F22AF3"/>
    <w:multiLevelType w:val="multilevel"/>
    <w:tmpl w:val="7FB0ED7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691FB09"/>
    <w:multiLevelType w:val="multilevel"/>
    <w:tmpl w:val="0B99434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7E4D6F8"/>
    <w:multiLevelType w:val="multilevel"/>
    <w:tmpl w:val="E14EF60B"/>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F2E0211"/>
    <w:multiLevelType w:val="multilevel"/>
    <w:tmpl w:val="04467B9C"/>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D9777B7"/>
    <w:multiLevelType w:val="multilevel"/>
    <w:tmpl w:val="3AAA0BE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A1C5689"/>
    <w:multiLevelType w:val="hybridMultilevel"/>
    <w:tmpl w:val="BE2E7B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5"/>
  </w:num>
  <w:num w:numId="2">
    <w:abstractNumId w:val="17"/>
  </w:num>
  <w:num w:numId="3">
    <w:abstractNumId w:val="10"/>
  </w:num>
  <w:num w:numId="4">
    <w:abstractNumId w:val="22"/>
  </w:num>
  <w:num w:numId="5">
    <w:abstractNumId w:val="19"/>
  </w:num>
  <w:num w:numId="6">
    <w:abstractNumId w:val="12"/>
  </w:num>
  <w:num w:numId="7">
    <w:abstractNumId w:val="2"/>
  </w:num>
  <w:num w:numId="8">
    <w:abstractNumId w:val="13"/>
  </w:num>
  <w:num w:numId="9">
    <w:abstractNumId w:val="8"/>
  </w:num>
  <w:num w:numId="10">
    <w:abstractNumId w:val="4"/>
  </w:num>
  <w:num w:numId="11">
    <w:abstractNumId w:val="3"/>
  </w:num>
  <w:num w:numId="12">
    <w:abstractNumId w:val="18"/>
  </w:num>
  <w:num w:numId="13">
    <w:abstractNumId w:val="5"/>
  </w:num>
  <w:num w:numId="14">
    <w:abstractNumId w:val="6"/>
  </w:num>
  <w:num w:numId="15">
    <w:abstractNumId w:val="1"/>
  </w:num>
  <w:num w:numId="16">
    <w:abstractNumId w:val="20"/>
  </w:num>
  <w:num w:numId="17">
    <w:abstractNumId w:val="7"/>
  </w:num>
  <w:num w:numId="18">
    <w:abstractNumId w:val="21"/>
  </w:num>
  <w:num w:numId="19">
    <w:abstractNumId w:val="9"/>
  </w:num>
  <w:num w:numId="20">
    <w:abstractNumId w:val="0"/>
  </w:num>
  <w:num w:numId="21">
    <w:abstractNumId w:val="11"/>
  </w:num>
  <w:num w:numId="22">
    <w:abstractNumId w:val="23"/>
  </w:num>
  <w:num w:numId="23">
    <w:abstractNumId w:val="14"/>
  </w:num>
  <w:num w:numId="24">
    <w:abstractNumId w:val="2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EFB"/>
    <w:rsid w:val="000457A2"/>
    <w:rsid w:val="000B3A8C"/>
    <w:rsid w:val="000B3C11"/>
    <w:rsid w:val="000C4E87"/>
    <w:rsid w:val="000E23EF"/>
    <w:rsid w:val="0015749A"/>
    <w:rsid w:val="00160129"/>
    <w:rsid w:val="001A376A"/>
    <w:rsid w:val="001A6B30"/>
    <w:rsid w:val="001B754D"/>
    <w:rsid w:val="002019FA"/>
    <w:rsid w:val="0025660C"/>
    <w:rsid w:val="00262545"/>
    <w:rsid w:val="0027142D"/>
    <w:rsid w:val="00282EFB"/>
    <w:rsid w:val="00287A6C"/>
    <w:rsid w:val="00341966"/>
    <w:rsid w:val="003C7756"/>
    <w:rsid w:val="003D281B"/>
    <w:rsid w:val="003D31F6"/>
    <w:rsid w:val="003E4121"/>
    <w:rsid w:val="003E6FEA"/>
    <w:rsid w:val="0043114A"/>
    <w:rsid w:val="00435B00"/>
    <w:rsid w:val="004365BF"/>
    <w:rsid w:val="00452680"/>
    <w:rsid w:val="004624D8"/>
    <w:rsid w:val="00463EF5"/>
    <w:rsid w:val="00466E35"/>
    <w:rsid w:val="00475E4A"/>
    <w:rsid w:val="004A4220"/>
    <w:rsid w:val="004C7B81"/>
    <w:rsid w:val="004D77B7"/>
    <w:rsid w:val="00502580"/>
    <w:rsid w:val="00503E4B"/>
    <w:rsid w:val="005313DD"/>
    <w:rsid w:val="00532291"/>
    <w:rsid w:val="00535CE6"/>
    <w:rsid w:val="005521E7"/>
    <w:rsid w:val="00565A3C"/>
    <w:rsid w:val="0059121E"/>
    <w:rsid w:val="00592A04"/>
    <w:rsid w:val="00593687"/>
    <w:rsid w:val="005C354F"/>
    <w:rsid w:val="005F1716"/>
    <w:rsid w:val="005F28F4"/>
    <w:rsid w:val="00625331"/>
    <w:rsid w:val="00625FC5"/>
    <w:rsid w:val="00637A89"/>
    <w:rsid w:val="0065754D"/>
    <w:rsid w:val="00666577"/>
    <w:rsid w:val="00680984"/>
    <w:rsid w:val="006D5502"/>
    <w:rsid w:val="006E13A7"/>
    <w:rsid w:val="006F2C92"/>
    <w:rsid w:val="006F49FE"/>
    <w:rsid w:val="0070208E"/>
    <w:rsid w:val="0071591F"/>
    <w:rsid w:val="00715EDD"/>
    <w:rsid w:val="00755A2E"/>
    <w:rsid w:val="0076036D"/>
    <w:rsid w:val="007647C3"/>
    <w:rsid w:val="00791AA3"/>
    <w:rsid w:val="007B444F"/>
    <w:rsid w:val="007D6FC0"/>
    <w:rsid w:val="007E218F"/>
    <w:rsid w:val="007E70F9"/>
    <w:rsid w:val="0083240C"/>
    <w:rsid w:val="00843F5E"/>
    <w:rsid w:val="00851892"/>
    <w:rsid w:val="008C2C52"/>
    <w:rsid w:val="008C42E8"/>
    <w:rsid w:val="008C6A51"/>
    <w:rsid w:val="008F508B"/>
    <w:rsid w:val="00967D25"/>
    <w:rsid w:val="0099253D"/>
    <w:rsid w:val="009969CE"/>
    <w:rsid w:val="009A03AB"/>
    <w:rsid w:val="009A7074"/>
    <w:rsid w:val="009B132D"/>
    <w:rsid w:val="009C297A"/>
    <w:rsid w:val="009D5802"/>
    <w:rsid w:val="009F63B8"/>
    <w:rsid w:val="009F6F22"/>
    <w:rsid w:val="00A077D1"/>
    <w:rsid w:val="00A3241E"/>
    <w:rsid w:val="00A57AF4"/>
    <w:rsid w:val="00A60937"/>
    <w:rsid w:val="00A6328A"/>
    <w:rsid w:val="00A67DB4"/>
    <w:rsid w:val="00A80A81"/>
    <w:rsid w:val="00B03B49"/>
    <w:rsid w:val="00B03FF7"/>
    <w:rsid w:val="00B25920"/>
    <w:rsid w:val="00B34EBE"/>
    <w:rsid w:val="00B35CA8"/>
    <w:rsid w:val="00B36637"/>
    <w:rsid w:val="00B9138D"/>
    <w:rsid w:val="00B96BE6"/>
    <w:rsid w:val="00BC0A69"/>
    <w:rsid w:val="00BC1C38"/>
    <w:rsid w:val="00BF2754"/>
    <w:rsid w:val="00C22883"/>
    <w:rsid w:val="00C35E5E"/>
    <w:rsid w:val="00C55EAD"/>
    <w:rsid w:val="00C6422C"/>
    <w:rsid w:val="00C73941"/>
    <w:rsid w:val="00CB2C20"/>
    <w:rsid w:val="00CB3147"/>
    <w:rsid w:val="00CD5EF3"/>
    <w:rsid w:val="00CE4FC4"/>
    <w:rsid w:val="00D32CB1"/>
    <w:rsid w:val="00D676D8"/>
    <w:rsid w:val="00DA3E13"/>
    <w:rsid w:val="00DB3BFC"/>
    <w:rsid w:val="00DB7E75"/>
    <w:rsid w:val="00DC1FC9"/>
    <w:rsid w:val="00DE0792"/>
    <w:rsid w:val="00DF17BB"/>
    <w:rsid w:val="00E30DB8"/>
    <w:rsid w:val="00E37010"/>
    <w:rsid w:val="00E5016A"/>
    <w:rsid w:val="00E872F5"/>
    <w:rsid w:val="00E97D87"/>
    <w:rsid w:val="00EB3E9A"/>
    <w:rsid w:val="00EC40BD"/>
    <w:rsid w:val="00EC6CE0"/>
    <w:rsid w:val="00ED28A5"/>
    <w:rsid w:val="00ED506E"/>
    <w:rsid w:val="00EE42D6"/>
    <w:rsid w:val="00EE6889"/>
    <w:rsid w:val="00F01319"/>
    <w:rsid w:val="00F01EAD"/>
    <w:rsid w:val="00F20784"/>
    <w:rsid w:val="00F24A30"/>
    <w:rsid w:val="00F25DB3"/>
    <w:rsid w:val="00F61A00"/>
    <w:rsid w:val="00FA40B6"/>
    <w:rsid w:val="00FC5A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6F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character" w:styleId="CommentReference">
    <w:name w:val="annotation reference"/>
    <w:basedOn w:val="DefaultParagraphFont"/>
    <w:uiPriority w:val="99"/>
    <w:semiHidden/>
    <w:unhideWhenUsed/>
    <w:rsid w:val="00592A04"/>
    <w:rPr>
      <w:sz w:val="16"/>
      <w:szCs w:val="16"/>
    </w:rPr>
  </w:style>
  <w:style w:type="paragraph" w:styleId="CommentText">
    <w:name w:val="annotation text"/>
    <w:basedOn w:val="Normal"/>
    <w:link w:val="CommentTextChar"/>
    <w:uiPriority w:val="99"/>
    <w:unhideWhenUsed/>
    <w:rsid w:val="00592A04"/>
    <w:pPr>
      <w:spacing w:line="240" w:lineRule="auto"/>
    </w:pPr>
    <w:rPr>
      <w:sz w:val="20"/>
      <w:szCs w:val="20"/>
    </w:rPr>
  </w:style>
  <w:style w:type="character" w:customStyle="1" w:styleId="CommentTextChar">
    <w:name w:val="Comment Text Char"/>
    <w:basedOn w:val="DefaultParagraphFont"/>
    <w:link w:val="CommentText"/>
    <w:uiPriority w:val="99"/>
    <w:rsid w:val="00592A04"/>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92A04"/>
    <w:rPr>
      <w:b/>
      <w:bCs/>
    </w:rPr>
  </w:style>
  <w:style w:type="character" w:customStyle="1" w:styleId="CommentSubjectChar">
    <w:name w:val="Comment Subject Char"/>
    <w:basedOn w:val="CommentTextChar"/>
    <w:link w:val="CommentSubject"/>
    <w:uiPriority w:val="99"/>
    <w:semiHidden/>
    <w:rsid w:val="00592A04"/>
    <w:rPr>
      <w:rFonts w:ascii="Verdana" w:hAnsi="Verdana"/>
      <w:b/>
      <w:bCs/>
      <w:color w:val="000000"/>
    </w:rPr>
  </w:style>
  <w:style w:type="paragraph" w:customStyle="1" w:styleId="HBJZ-Kamerstukken-regelafstand13">
    <w:name w:val="HBJZ - Kamerstukken - regelafstand 13"/>
    <w:aliases w:val="8"/>
    <w:basedOn w:val="Normal"/>
    <w:next w:val="Normal"/>
    <w:rsid w:val="006D5502"/>
    <w:pPr>
      <w:spacing w:line="276" w:lineRule="exact"/>
      <w:textAlignment w:val="auto"/>
    </w:pPr>
  </w:style>
  <w:style w:type="paragraph" w:customStyle="1" w:styleId="Lijstniveau1">
    <w:name w:val="Lijst niveau 1"/>
    <w:basedOn w:val="Normal"/>
    <w:uiPriority w:val="3"/>
    <w:qFormat/>
    <w:rsid w:val="00475E4A"/>
    <w:pPr>
      <w:numPr>
        <w:numId w:val="22"/>
      </w:numPr>
      <w:spacing w:line="240" w:lineRule="exact"/>
    </w:pPr>
  </w:style>
  <w:style w:type="paragraph" w:customStyle="1" w:styleId="Lijstniveau2">
    <w:name w:val="Lijst niveau 2"/>
    <w:basedOn w:val="Normal"/>
    <w:uiPriority w:val="4"/>
    <w:qFormat/>
    <w:rsid w:val="00475E4A"/>
    <w:pPr>
      <w:numPr>
        <w:ilvl w:val="1"/>
        <w:numId w:val="22"/>
      </w:numPr>
      <w:spacing w:line="240" w:lineRule="exact"/>
    </w:pPr>
  </w:style>
  <w:style w:type="paragraph" w:customStyle="1" w:styleId="Lijstniveau3">
    <w:name w:val="Lijst niveau 3"/>
    <w:basedOn w:val="Normal"/>
    <w:uiPriority w:val="5"/>
    <w:qFormat/>
    <w:rsid w:val="00475E4A"/>
    <w:pPr>
      <w:numPr>
        <w:ilvl w:val="2"/>
        <w:numId w:val="22"/>
      </w:numPr>
      <w:spacing w:line="240" w:lineRule="exact"/>
    </w:pPr>
  </w:style>
  <w:style w:type="paragraph" w:customStyle="1" w:styleId="Lijstniveau4">
    <w:name w:val="Lijst niveau 4"/>
    <w:basedOn w:val="Lijstniveau3"/>
    <w:uiPriority w:val="6"/>
    <w:qFormat/>
    <w:rsid w:val="00475E4A"/>
    <w:pPr>
      <w:numPr>
        <w:ilvl w:val="3"/>
      </w:numPr>
    </w:pPr>
  </w:style>
  <w:style w:type="paragraph" w:styleId="ListParagraph">
    <w:name w:val="List Paragraph"/>
    <w:basedOn w:val="Normal"/>
    <w:uiPriority w:val="34"/>
    <w:qFormat/>
    <w:rsid w:val="00475E4A"/>
    <w:pPr>
      <w:ind w:left="720"/>
      <w:contextualSpacing/>
    </w:pPr>
  </w:style>
  <w:style w:type="paragraph" w:styleId="FootnoteText">
    <w:name w:val="footnote text"/>
    <w:basedOn w:val="Normal"/>
    <w:link w:val="FootnoteTextChar"/>
    <w:uiPriority w:val="99"/>
    <w:semiHidden/>
    <w:unhideWhenUsed/>
    <w:rsid w:val="00475E4A"/>
    <w:pPr>
      <w:spacing w:line="240" w:lineRule="auto"/>
    </w:pPr>
    <w:rPr>
      <w:sz w:val="20"/>
      <w:szCs w:val="20"/>
    </w:rPr>
  </w:style>
  <w:style w:type="character" w:customStyle="1" w:styleId="FootnoteTextChar">
    <w:name w:val="Footnote Text Char"/>
    <w:basedOn w:val="DefaultParagraphFont"/>
    <w:link w:val="FootnoteText"/>
    <w:uiPriority w:val="99"/>
    <w:semiHidden/>
    <w:rsid w:val="00475E4A"/>
    <w:rPr>
      <w:rFonts w:ascii="Verdana" w:hAnsi="Verdana"/>
      <w:color w:val="000000"/>
    </w:rPr>
  </w:style>
  <w:style w:type="character" w:styleId="FootnoteReference">
    <w:name w:val="footnote reference"/>
    <w:basedOn w:val="DefaultParagraphFont"/>
    <w:uiPriority w:val="99"/>
    <w:semiHidden/>
    <w:unhideWhenUsed/>
    <w:rsid w:val="00475E4A"/>
    <w:rPr>
      <w:vertAlign w:val="superscript"/>
    </w:rPr>
  </w:style>
  <w:style w:type="paragraph" w:styleId="Revision">
    <w:name w:val="Revision"/>
    <w:hidden/>
    <w:uiPriority w:val="99"/>
    <w:semiHidden/>
    <w:rsid w:val="0099253D"/>
    <w:pPr>
      <w:autoSpaceDN/>
      <w:textAlignment w:val="auto"/>
    </w:pPr>
    <w:rPr>
      <w:rFonts w:ascii="Verdana" w:hAnsi="Verdana"/>
      <w:color w:val="000000"/>
      <w:sz w:val="18"/>
      <w:szCs w:val="18"/>
    </w:rPr>
  </w:style>
  <w:style w:type="character" w:styleId="Hyperlink">
    <w:name w:val="Hyperlink"/>
    <w:basedOn w:val="DefaultParagraphFont"/>
    <w:uiPriority w:val="99"/>
    <w:unhideWhenUsed/>
    <w:rsid w:val="0065754D"/>
    <w:rPr>
      <w:color w:val="0563C1" w:themeColor="hyperlink"/>
      <w:u w:val="single"/>
    </w:rPr>
  </w:style>
  <w:style w:type="character" w:customStyle="1" w:styleId="UnresolvedMention">
    <w:name w:val="Unresolved Mention"/>
    <w:basedOn w:val="DefaultParagraphFont"/>
    <w:uiPriority w:val="99"/>
    <w:semiHidden/>
    <w:unhideWhenUsed/>
    <w:rsid w:val="0065754D"/>
    <w:rPr>
      <w:color w:val="605E5C"/>
      <w:shd w:val="clear" w:color="auto" w:fill="E1DFDD"/>
    </w:rPr>
  </w:style>
  <w:style w:type="paragraph" w:styleId="Header">
    <w:name w:val="header"/>
    <w:basedOn w:val="Normal"/>
    <w:link w:val="HeaderChar"/>
    <w:uiPriority w:val="99"/>
    <w:unhideWhenUsed/>
    <w:rsid w:val="004C7B81"/>
    <w:pPr>
      <w:tabs>
        <w:tab w:val="center" w:pos="4536"/>
        <w:tab w:val="right" w:pos="9072"/>
      </w:tabs>
      <w:spacing w:line="240" w:lineRule="auto"/>
    </w:pPr>
  </w:style>
  <w:style w:type="character" w:customStyle="1" w:styleId="HeaderChar">
    <w:name w:val="Header Char"/>
    <w:basedOn w:val="DefaultParagraphFont"/>
    <w:link w:val="Header"/>
    <w:uiPriority w:val="99"/>
    <w:rsid w:val="004C7B81"/>
    <w:rPr>
      <w:rFonts w:ascii="Verdana" w:hAnsi="Verdana"/>
      <w:color w:val="000000"/>
      <w:sz w:val="18"/>
      <w:szCs w:val="18"/>
    </w:rPr>
  </w:style>
  <w:style w:type="paragraph" w:styleId="Footer">
    <w:name w:val="footer"/>
    <w:basedOn w:val="Normal"/>
    <w:link w:val="FooterChar"/>
    <w:uiPriority w:val="99"/>
    <w:unhideWhenUsed/>
    <w:rsid w:val="004C7B81"/>
    <w:pPr>
      <w:tabs>
        <w:tab w:val="center" w:pos="4536"/>
        <w:tab w:val="right" w:pos="9072"/>
      </w:tabs>
      <w:spacing w:line="240" w:lineRule="auto"/>
    </w:pPr>
  </w:style>
  <w:style w:type="character" w:customStyle="1" w:styleId="FooterChar">
    <w:name w:val="Footer Char"/>
    <w:basedOn w:val="DefaultParagraphFont"/>
    <w:link w:val="Footer"/>
    <w:uiPriority w:val="99"/>
    <w:rsid w:val="004C7B81"/>
    <w:rPr>
      <w:rFonts w:ascii="Verdana" w:hAnsi="Verdana"/>
      <w:color w:val="000000"/>
      <w:sz w:val="18"/>
      <w:szCs w:val="18"/>
    </w:rPr>
  </w:style>
  <w:style w:type="paragraph" w:styleId="NoSpacing">
    <w:name w:val="No Spacing"/>
    <w:uiPriority w:val="1"/>
    <w:qFormat/>
    <w:rsid w:val="00843F5E"/>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199867">
      <w:bodyDiv w:val="1"/>
      <w:marLeft w:val="0"/>
      <w:marRight w:val="0"/>
      <w:marTop w:val="0"/>
      <w:marBottom w:val="0"/>
      <w:divBdr>
        <w:top w:val="none" w:sz="0" w:space="0" w:color="auto"/>
        <w:left w:val="none" w:sz="0" w:space="0" w:color="auto"/>
        <w:bottom w:val="none" w:sz="0" w:space="0" w:color="auto"/>
        <w:right w:val="none" w:sz="0" w:space="0" w:color="auto"/>
      </w:divBdr>
    </w:div>
    <w:div w:id="1567255711">
      <w:bodyDiv w:val="1"/>
      <w:marLeft w:val="0"/>
      <w:marRight w:val="0"/>
      <w:marTop w:val="0"/>
      <w:marBottom w:val="0"/>
      <w:divBdr>
        <w:top w:val="none" w:sz="0" w:space="0" w:color="auto"/>
        <w:left w:val="none" w:sz="0" w:space="0" w:color="auto"/>
        <w:bottom w:val="none" w:sz="0" w:space="0" w:color="auto"/>
        <w:right w:val="none" w:sz="0" w:space="0" w:color="auto"/>
      </w:divBdr>
    </w:div>
    <w:div w:id="1598367823">
      <w:bodyDiv w:val="1"/>
      <w:marLeft w:val="0"/>
      <w:marRight w:val="0"/>
      <w:marTop w:val="0"/>
      <w:marBottom w:val="0"/>
      <w:divBdr>
        <w:top w:val="none" w:sz="0" w:space="0" w:color="auto"/>
        <w:left w:val="none" w:sz="0" w:space="0" w:color="auto"/>
        <w:bottom w:val="none" w:sz="0" w:space="0" w:color="auto"/>
        <w:right w:val="none" w:sz="0" w:space="0" w:color="auto"/>
      </w:divBdr>
    </w:div>
    <w:div w:id="17784516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webSetting" Target="webSettings0.xml" Id="rId19" /><Relationship Type="http://schemas.openxmlformats.org/officeDocument/2006/relationships/settings" Target="settings.xml" Id="rId4" /><Relationship Type="http://schemas.openxmlformats.org/officeDocument/2006/relationships/header" Target="header2.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Ministeri&#235;le%20regeling%20(17).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5161</ap:Words>
  <ap:Characters>29420</ap:Characters>
  <ap:DocSecurity>0</ap:DocSecurity>
  <ap:Lines>245</ap:Lines>
  <ap:Paragraphs>69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34512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2025-09-04T08:35:00.0000000Z</dcterms:created>
  <dcterms:modified xsi:type="dcterms:W3CDTF">2025-09-04T08:35:00.0000000Z</dcterms:modified>
  <dc:description>------------------------</dc:description>
  <dc:subject/>
  <dc:title/>
  <keywords/>
  <version/>
  <category/>
</coreProperties>
</file>