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A7116" w:rsidR="001137B9" w:rsidP="004A7116" w:rsidRDefault="001137B9" w14:paraId="03B758B6" w14:textId="77777777">
      <w:pPr>
        <w:spacing w:after="0" w:line="240" w:lineRule="exact"/>
        <w:rPr>
          <w:rFonts w:eastAsiaTheme="minorEastAsia"/>
          <w:b/>
          <w:bCs/>
          <w:szCs w:val="18"/>
          <w:lang w:val="nl-NL"/>
        </w:rPr>
      </w:pPr>
      <w:r w:rsidRPr="004A7116">
        <w:rPr>
          <w:rFonts w:eastAsiaTheme="minorEastAsia"/>
          <w:b/>
          <w:bCs/>
          <w:szCs w:val="18"/>
          <w:lang w:val="nl-NL"/>
        </w:rPr>
        <w:t xml:space="preserve">GEANNOTEERDE AGENDA RAAD BUITENLANDSE ZAKEN HANDEL VAN 14 JULI 2025 </w:t>
      </w:r>
    </w:p>
    <w:p w:rsidRPr="004A7116" w:rsidR="001137B9" w:rsidP="004A7116" w:rsidRDefault="001137B9" w14:paraId="2BD2F989" w14:textId="77777777">
      <w:pPr>
        <w:spacing w:after="0" w:line="240" w:lineRule="exact"/>
        <w:rPr>
          <w:rFonts w:eastAsiaTheme="minorEastAsia"/>
          <w:b/>
          <w:bCs/>
          <w:szCs w:val="18"/>
          <w:lang w:val="nl-NL"/>
        </w:rPr>
      </w:pPr>
    </w:p>
    <w:p w:rsidR="001137B9" w:rsidP="004A7116" w:rsidRDefault="001137B9" w14:paraId="57BBD82E" w14:textId="77777777">
      <w:pPr>
        <w:spacing w:after="0" w:line="240" w:lineRule="exact"/>
        <w:rPr>
          <w:rFonts w:eastAsiaTheme="minorEastAsia"/>
          <w:b/>
          <w:bCs/>
          <w:szCs w:val="18"/>
          <w:lang w:val="nl-NL"/>
        </w:rPr>
      </w:pPr>
      <w:r w:rsidRPr="004A7116">
        <w:rPr>
          <w:rFonts w:eastAsiaTheme="minorEastAsia"/>
          <w:b/>
          <w:bCs/>
          <w:szCs w:val="18"/>
          <w:lang w:val="nl-NL"/>
        </w:rPr>
        <w:t>Introductie</w:t>
      </w:r>
    </w:p>
    <w:p w:rsidRPr="004A7116" w:rsidR="004A7116" w:rsidP="004A7116" w:rsidRDefault="004A7116" w14:paraId="7CA06E6E" w14:textId="77777777">
      <w:pPr>
        <w:spacing w:after="0" w:line="240" w:lineRule="exact"/>
        <w:rPr>
          <w:rFonts w:eastAsiaTheme="minorEastAsia"/>
          <w:b/>
          <w:bCs/>
          <w:szCs w:val="18"/>
          <w:lang w:val="nl-NL"/>
        </w:rPr>
      </w:pPr>
    </w:p>
    <w:p w:rsidR="004A7116" w:rsidP="004A7116" w:rsidRDefault="0078595C" w14:paraId="03513511" w14:textId="60632C99">
      <w:pPr>
        <w:spacing w:after="0" w:line="240" w:lineRule="exact"/>
        <w:rPr>
          <w:szCs w:val="18"/>
          <w:lang w:val="nl-NL"/>
        </w:rPr>
      </w:pPr>
      <w:r w:rsidRPr="004A7116">
        <w:rPr>
          <w:rFonts w:eastAsiaTheme="minorEastAsia"/>
          <w:szCs w:val="18"/>
          <w:lang w:val="nl-NL"/>
        </w:rPr>
        <w:t>Op maandag 14 juli a.s. vindt, onder Deens voorzitterschap, een</w:t>
      </w:r>
      <w:r w:rsidR="00AF65AA">
        <w:rPr>
          <w:rFonts w:eastAsiaTheme="minorEastAsia"/>
          <w:szCs w:val="18"/>
          <w:lang w:val="nl-NL"/>
        </w:rPr>
        <w:t xml:space="preserve"> extra</w:t>
      </w:r>
      <w:r w:rsidRPr="004A7116">
        <w:rPr>
          <w:rFonts w:eastAsiaTheme="minorEastAsia"/>
          <w:szCs w:val="18"/>
          <w:lang w:val="nl-NL"/>
        </w:rPr>
        <w:t xml:space="preserve"> ingelaste Raad Buitenlandse Zaken (RBZ) Handel plaats in Brussel. Tijdens de plenaire vergadering van de Raad zal worden gesproken over de handelsbetrekkingen tussen de Europese Unie (EU) en de Verenigde Staten (VS)</w:t>
      </w:r>
      <w:r w:rsidRPr="004A7116" w:rsidR="00D94AE8">
        <w:rPr>
          <w:rFonts w:eastAsiaTheme="minorEastAsia"/>
          <w:szCs w:val="18"/>
          <w:lang w:val="nl-NL"/>
        </w:rPr>
        <w:t xml:space="preserve">, de handelsbetrekkingen tussen de EU en China en de lopende onderhandelingen </w:t>
      </w:r>
      <w:r w:rsidR="008F4EE4">
        <w:rPr>
          <w:rFonts w:eastAsiaTheme="minorEastAsia"/>
          <w:szCs w:val="18"/>
          <w:lang w:val="nl-NL"/>
        </w:rPr>
        <w:t xml:space="preserve">over handelsakkoorden </w:t>
      </w:r>
      <w:r w:rsidRPr="004A7116" w:rsidR="00D94AE8">
        <w:rPr>
          <w:rFonts w:eastAsiaTheme="minorEastAsia"/>
          <w:szCs w:val="18"/>
          <w:lang w:val="nl-NL"/>
        </w:rPr>
        <w:t>met andere derde landen</w:t>
      </w:r>
      <w:r w:rsidRPr="004A7116">
        <w:rPr>
          <w:rFonts w:eastAsiaTheme="minorEastAsia"/>
          <w:szCs w:val="18"/>
          <w:lang w:val="nl-NL"/>
        </w:rPr>
        <w:t>.</w:t>
      </w:r>
      <w:r w:rsidR="004A7116">
        <w:rPr>
          <w:rFonts w:eastAsiaTheme="minorEastAsia"/>
          <w:szCs w:val="18"/>
          <w:lang w:val="nl-NL"/>
        </w:rPr>
        <w:t xml:space="preserve"> Naast de geannoteerde agenda van de Raad </w:t>
      </w:r>
      <w:r w:rsidR="00D575AC">
        <w:rPr>
          <w:rFonts w:eastAsiaTheme="minorEastAsia"/>
          <w:szCs w:val="18"/>
          <w:lang w:val="nl-NL"/>
        </w:rPr>
        <w:t>wordt hieronder ingegaan op</w:t>
      </w:r>
      <w:r w:rsidR="004A7116">
        <w:rPr>
          <w:rFonts w:eastAsiaTheme="minorEastAsia"/>
          <w:szCs w:val="18"/>
          <w:lang w:val="nl-NL"/>
        </w:rPr>
        <w:t xml:space="preserve"> enkele overige </w:t>
      </w:r>
      <w:r w:rsidR="000B71C3">
        <w:rPr>
          <w:rFonts w:eastAsiaTheme="minorEastAsia"/>
          <w:szCs w:val="18"/>
          <w:lang w:val="nl-NL"/>
        </w:rPr>
        <w:t xml:space="preserve">onderwerpen: </w:t>
      </w:r>
      <w:r w:rsidR="004A7116">
        <w:rPr>
          <w:rFonts w:eastAsiaTheme="minorEastAsia"/>
          <w:szCs w:val="18"/>
          <w:lang w:val="nl-NL"/>
        </w:rPr>
        <w:t>de eerste inzet van het EU Internationaal Aanbestedingsinstrument (IPI)</w:t>
      </w:r>
      <w:r w:rsidR="00967204">
        <w:rPr>
          <w:rFonts w:eastAsiaTheme="minorEastAsia"/>
          <w:szCs w:val="18"/>
          <w:lang w:val="nl-NL"/>
        </w:rPr>
        <w:t>,</w:t>
      </w:r>
      <w:r w:rsidR="004A7116">
        <w:rPr>
          <w:rFonts w:eastAsiaTheme="minorEastAsia"/>
          <w:szCs w:val="18"/>
          <w:lang w:val="nl-NL"/>
        </w:rPr>
        <w:t xml:space="preserve"> de overeengekomen Raadspositie bij het Omnibus I voorstel</w:t>
      </w:r>
      <w:r w:rsidR="00967204">
        <w:rPr>
          <w:rFonts w:eastAsiaTheme="minorEastAsia"/>
          <w:szCs w:val="18"/>
          <w:lang w:val="nl-NL"/>
        </w:rPr>
        <w:t>,</w:t>
      </w:r>
      <w:r w:rsidR="004A7116">
        <w:rPr>
          <w:rFonts w:eastAsiaTheme="minorEastAsia"/>
          <w:szCs w:val="18"/>
          <w:lang w:val="nl-NL"/>
        </w:rPr>
        <w:t xml:space="preserve"> en </w:t>
      </w:r>
      <w:r w:rsidR="000B71C3">
        <w:rPr>
          <w:rFonts w:eastAsiaTheme="minorEastAsia"/>
          <w:szCs w:val="18"/>
          <w:lang w:val="nl-NL"/>
        </w:rPr>
        <w:t xml:space="preserve">een </w:t>
      </w:r>
      <w:r w:rsidRPr="000B71C3" w:rsidR="000B71C3">
        <w:rPr>
          <w:rFonts w:eastAsiaTheme="minorEastAsia"/>
          <w:szCs w:val="18"/>
          <w:lang w:val="nl-NL"/>
        </w:rPr>
        <w:t>laatste stand van t</w:t>
      </w:r>
      <w:r w:rsidRPr="000B71C3" w:rsidR="000B71C3">
        <w:rPr>
          <w:szCs w:val="18"/>
          <w:lang w:val="nl-NL"/>
        </w:rPr>
        <w:t>oezeggingen en een motie inzake de conflictmineralenverordening.</w:t>
      </w:r>
    </w:p>
    <w:p w:rsidR="0023459C" w:rsidP="004A7116" w:rsidRDefault="0023459C" w14:paraId="7F4F5B52" w14:textId="77777777">
      <w:pPr>
        <w:spacing w:after="0" w:line="240" w:lineRule="exact"/>
        <w:rPr>
          <w:szCs w:val="18"/>
          <w:lang w:val="nl-NL"/>
        </w:rPr>
      </w:pPr>
    </w:p>
    <w:p w:rsidRPr="004A7116" w:rsidR="0023459C" w:rsidP="0023459C" w:rsidRDefault="0023459C" w14:paraId="5B0BA85D" w14:textId="77777777">
      <w:pPr>
        <w:spacing w:after="0" w:line="240" w:lineRule="exact"/>
        <w:rPr>
          <w:rFonts w:eastAsiaTheme="minorEastAsia"/>
          <w:b/>
          <w:bCs/>
          <w:szCs w:val="18"/>
          <w:lang w:val="nl-NL"/>
        </w:rPr>
      </w:pPr>
      <w:r w:rsidRPr="004A7116">
        <w:rPr>
          <w:rFonts w:eastAsiaTheme="minorEastAsia"/>
          <w:b/>
          <w:bCs/>
          <w:szCs w:val="18"/>
          <w:lang w:val="nl-NL"/>
        </w:rPr>
        <w:t xml:space="preserve">RAAD BUITENLANDSE ZAKEN HANDEL VAN 14 JULI 2025 </w:t>
      </w:r>
    </w:p>
    <w:p w:rsidRPr="004A7116" w:rsidR="0078595C" w:rsidP="004A7116" w:rsidRDefault="0078595C" w14:paraId="220D7A90" w14:textId="77777777">
      <w:pPr>
        <w:spacing w:after="0" w:line="240" w:lineRule="exact"/>
        <w:rPr>
          <w:rFonts w:eastAsiaTheme="minorEastAsia"/>
          <w:szCs w:val="18"/>
          <w:lang w:val="nl-NL"/>
        </w:rPr>
      </w:pPr>
    </w:p>
    <w:p w:rsidR="001137B9" w:rsidP="004A7116" w:rsidRDefault="0078595C" w14:paraId="4458E0E8" w14:textId="15465919">
      <w:pPr>
        <w:spacing w:after="0" w:line="240" w:lineRule="exact"/>
        <w:rPr>
          <w:rFonts w:eastAsiaTheme="minorEastAsia"/>
          <w:b/>
          <w:bCs/>
          <w:color w:val="FF0000"/>
          <w:szCs w:val="18"/>
          <w:lang w:val="nl-NL"/>
        </w:rPr>
      </w:pPr>
      <w:bookmarkStart w:name="_Hlk196921926" w:id="0"/>
      <w:r w:rsidRPr="004A7116">
        <w:rPr>
          <w:rFonts w:eastAsiaTheme="minorEastAsia"/>
          <w:b/>
          <w:bCs/>
          <w:szCs w:val="18"/>
          <w:lang w:val="nl-NL"/>
        </w:rPr>
        <w:t xml:space="preserve">Handelsbetrekkingen met de </w:t>
      </w:r>
      <w:r w:rsidRPr="004A7116" w:rsidR="00C8241A">
        <w:rPr>
          <w:rFonts w:eastAsiaTheme="minorEastAsia"/>
          <w:b/>
          <w:bCs/>
          <w:szCs w:val="18"/>
          <w:lang w:val="nl-NL"/>
        </w:rPr>
        <w:t>VS</w:t>
      </w:r>
    </w:p>
    <w:p w:rsidRPr="004A7116" w:rsidR="004A7116" w:rsidP="004A7116" w:rsidRDefault="004A7116" w14:paraId="29BAAA08" w14:textId="77777777">
      <w:pPr>
        <w:spacing w:after="0" w:line="240" w:lineRule="exact"/>
        <w:rPr>
          <w:rFonts w:eastAsiaTheme="minorEastAsia"/>
          <w:szCs w:val="18"/>
          <w:lang w:val="nl-NL"/>
        </w:rPr>
      </w:pPr>
    </w:p>
    <w:p w:rsidR="0006127A" w:rsidP="004A7116" w:rsidRDefault="0006127A" w14:paraId="3BDC3C3E" w14:textId="57105A43">
      <w:pPr>
        <w:spacing w:after="0" w:line="240" w:lineRule="exact"/>
        <w:rPr>
          <w:szCs w:val="18"/>
          <w:lang w:val="nl-NL"/>
        </w:rPr>
      </w:pPr>
      <w:bookmarkStart w:name="_Hlk201915375" w:id="1"/>
      <w:bookmarkEnd w:id="0"/>
      <w:r w:rsidRPr="004A7116">
        <w:rPr>
          <w:szCs w:val="18"/>
          <w:lang w:val="nl-NL"/>
        </w:rPr>
        <w:t xml:space="preserve">De Raad zal spreken over de EU-VS handelsbetrekkingen. Naar verwachting zal de Commissie een terugkoppeling geven over de status van de </w:t>
      </w:r>
      <w:bookmarkEnd w:id="1"/>
      <w:r w:rsidR="00033FCB">
        <w:rPr>
          <w:szCs w:val="18"/>
          <w:lang w:val="nl-NL"/>
        </w:rPr>
        <w:t>gesprekken met de VS</w:t>
      </w:r>
      <w:r w:rsidRPr="004A7116">
        <w:rPr>
          <w:szCs w:val="18"/>
          <w:lang w:val="nl-NL"/>
        </w:rPr>
        <w:t>.</w:t>
      </w:r>
      <w:r w:rsidR="00033FCB">
        <w:rPr>
          <w:szCs w:val="18"/>
          <w:lang w:val="nl-NL"/>
        </w:rPr>
        <w:t xml:space="preserve"> </w:t>
      </w:r>
      <w:r w:rsidRPr="004A7116">
        <w:rPr>
          <w:szCs w:val="18"/>
          <w:lang w:val="nl-NL"/>
        </w:rPr>
        <w:t xml:space="preserve">Momenteel is </w:t>
      </w:r>
      <w:r w:rsidR="00033FCB">
        <w:rPr>
          <w:szCs w:val="18"/>
          <w:lang w:val="nl-NL"/>
        </w:rPr>
        <w:t>meer dan</w:t>
      </w:r>
      <w:r w:rsidRPr="004A7116">
        <w:rPr>
          <w:szCs w:val="18"/>
          <w:lang w:val="nl-NL"/>
        </w:rPr>
        <w:t xml:space="preserve"> 70</w:t>
      </w:r>
      <w:r w:rsidR="00294C63">
        <w:rPr>
          <w:szCs w:val="18"/>
          <w:lang w:val="nl-NL"/>
        </w:rPr>
        <w:t xml:space="preserve"> procent</w:t>
      </w:r>
      <w:r w:rsidRPr="004A7116">
        <w:rPr>
          <w:szCs w:val="18"/>
          <w:lang w:val="nl-NL"/>
        </w:rPr>
        <w:t xml:space="preserve"> </w:t>
      </w:r>
      <w:r w:rsidR="00033FCB">
        <w:rPr>
          <w:szCs w:val="18"/>
          <w:lang w:val="nl-NL"/>
        </w:rPr>
        <w:t>van de</w:t>
      </w:r>
      <w:r w:rsidRPr="004A7116">
        <w:rPr>
          <w:szCs w:val="18"/>
          <w:lang w:val="nl-NL"/>
        </w:rPr>
        <w:t xml:space="preserve"> EU</w:t>
      </w:r>
      <w:r w:rsidR="008F4EE4">
        <w:rPr>
          <w:szCs w:val="18"/>
          <w:lang w:val="nl-NL"/>
        </w:rPr>
        <w:t xml:space="preserve"> </w:t>
      </w:r>
      <w:r w:rsidRPr="004A7116">
        <w:rPr>
          <w:szCs w:val="18"/>
          <w:lang w:val="nl-NL"/>
        </w:rPr>
        <w:t xml:space="preserve">export naar de VS belast met </w:t>
      </w:r>
      <w:r w:rsidR="00033FCB">
        <w:rPr>
          <w:szCs w:val="18"/>
          <w:lang w:val="nl-NL"/>
        </w:rPr>
        <w:t xml:space="preserve">extra importheffingen van Amerikaanse zijde. De VS hanteert </w:t>
      </w:r>
      <w:r w:rsidRPr="004A7116">
        <w:rPr>
          <w:szCs w:val="18"/>
          <w:lang w:val="nl-NL"/>
        </w:rPr>
        <w:t xml:space="preserve">een </w:t>
      </w:r>
      <w:r w:rsidR="009E2384">
        <w:rPr>
          <w:szCs w:val="18"/>
          <w:lang w:val="nl-NL"/>
        </w:rPr>
        <w:t>zogenoemd</w:t>
      </w:r>
      <w:r w:rsidR="00FB17FF">
        <w:rPr>
          <w:szCs w:val="18"/>
          <w:lang w:val="nl-NL"/>
        </w:rPr>
        <w:t>e</w:t>
      </w:r>
      <w:r w:rsidR="00033FCB">
        <w:rPr>
          <w:szCs w:val="18"/>
          <w:lang w:val="nl-NL"/>
        </w:rPr>
        <w:t xml:space="preserve"> “wederzijds</w:t>
      </w:r>
      <w:r w:rsidR="00E47800">
        <w:rPr>
          <w:szCs w:val="18"/>
          <w:lang w:val="nl-NL"/>
        </w:rPr>
        <w:t>e</w:t>
      </w:r>
      <w:r w:rsidR="00033FCB">
        <w:rPr>
          <w:szCs w:val="18"/>
          <w:lang w:val="nl-NL"/>
        </w:rPr>
        <w:t xml:space="preserve">” </w:t>
      </w:r>
      <w:r w:rsidR="00E47800">
        <w:rPr>
          <w:szCs w:val="18"/>
          <w:lang w:val="nl-NL"/>
        </w:rPr>
        <w:t>heffing</w:t>
      </w:r>
      <w:r w:rsidRPr="004A7116" w:rsidR="00E47800">
        <w:rPr>
          <w:szCs w:val="18"/>
          <w:lang w:val="nl-NL"/>
        </w:rPr>
        <w:t xml:space="preserve"> </w:t>
      </w:r>
      <w:r w:rsidRPr="004A7116">
        <w:rPr>
          <w:szCs w:val="18"/>
          <w:lang w:val="nl-NL"/>
        </w:rPr>
        <w:t>van 10</w:t>
      </w:r>
      <w:r w:rsidR="00294C63">
        <w:rPr>
          <w:szCs w:val="18"/>
          <w:lang w:val="nl-NL"/>
        </w:rPr>
        <w:t xml:space="preserve"> procent</w:t>
      </w:r>
      <w:r w:rsidR="00033FCB">
        <w:rPr>
          <w:szCs w:val="18"/>
          <w:lang w:val="nl-NL"/>
        </w:rPr>
        <w:t xml:space="preserve"> op een groot aantal producten.</w:t>
      </w:r>
      <w:r w:rsidRPr="004A7116">
        <w:rPr>
          <w:szCs w:val="18"/>
          <w:lang w:val="nl-NL"/>
        </w:rPr>
        <w:t xml:space="preserve"> Daarnaast hanteert de VS sectorale importheffingen van 25</w:t>
      </w:r>
      <w:r w:rsidR="00F74D81">
        <w:rPr>
          <w:szCs w:val="18"/>
          <w:lang w:val="nl-NL"/>
        </w:rPr>
        <w:t xml:space="preserve"> procent</w:t>
      </w:r>
      <w:r w:rsidRPr="004A7116">
        <w:rPr>
          <w:szCs w:val="18"/>
          <w:lang w:val="nl-NL"/>
        </w:rPr>
        <w:t xml:space="preserve"> op auto’s en auto-onderdelen en verhoogde de </w:t>
      </w:r>
      <w:r w:rsidR="00A42342">
        <w:rPr>
          <w:szCs w:val="18"/>
          <w:lang w:val="nl-NL"/>
        </w:rPr>
        <w:t xml:space="preserve">Amerikaanse </w:t>
      </w:r>
      <w:r w:rsidRPr="004A7116">
        <w:rPr>
          <w:szCs w:val="18"/>
          <w:lang w:val="nl-NL"/>
        </w:rPr>
        <w:t xml:space="preserve">regering de </w:t>
      </w:r>
      <w:r w:rsidR="00CC730E">
        <w:rPr>
          <w:szCs w:val="18"/>
          <w:lang w:val="nl-NL"/>
        </w:rPr>
        <w:t>sectorale</w:t>
      </w:r>
      <w:r w:rsidRPr="004A7116">
        <w:rPr>
          <w:szCs w:val="18"/>
          <w:lang w:val="nl-NL"/>
        </w:rPr>
        <w:t xml:space="preserve"> heffingen op staal-, aluminium- en afgeleide producten op 4 juni </w:t>
      </w:r>
      <w:r w:rsidR="00C80A4B">
        <w:rPr>
          <w:szCs w:val="18"/>
          <w:lang w:val="nl-NL"/>
        </w:rPr>
        <w:t>jl.</w:t>
      </w:r>
      <w:r w:rsidRPr="004A7116">
        <w:rPr>
          <w:szCs w:val="18"/>
          <w:lang w:val="nl-NL"/>
        </w:rPr>
        <w:t xml:space="preserve"> van 25</w:t>
      </w:r>
      <w:r w:rsidR="009A5DEB">
        <w:rPr>
          <w:szCs w:val="18"/>
          <w:lang w:val="nl-NL"/>
        </w:rPr>
        <w:t xml:space="preserve"> procent</w:t>
      </w:r>
      <w:r w:rsidRPr="004A7116">
        <w:rPr>
          <w:szCs w:val="18"/>
          <w:lang w:val="nl-NL"/>
        </w:rPr>
        <w:t xml:space="preserve"> naar 50</w:t>
      </w:r>
      <w:r w:rsidR="009A5DEB">
        <w:rPr>
          <w:szCs w:val="18"/>
          <w:lang w:val="nl-NL"/>
        </w:rPr>
        <w:t xml:space="preserve"> procent</w:t>
      </w:r>
      <w:r w:rsidRPr="004A7116">
        <w:rPr>
          <w:szCs w:val="18"/>
          <w:lang w:val="nl-NL"/>
        </w:rPr>
        <w:t>.</w:t>
      </w:r>
      <w:r w:rsidR="00033FCB">
        <w:rPr>
          <w:szCs w:val="18"/>
          <w:lang w:val="nl-NL"/>
        </w:rPr>
        <w:t xml:space="preserve"> Deze </w:t>
      </w:r>
      <w:r w:rsidR="009F4788">
        <w:rPr>
          <w:szCs w:val="18"/>
          <w:lang w:val="nl-NL"/>
        </w:rPr>
        <w:t>heffingen</w:t>
      </w:r>
      <w:r w:rsidR="00033FCB">
        <w:rPr>
          <w:szCs w:val="18"/>
          <w:lang w:val="nl-NL"/>
        </w:rPr>
        <w:t xml:space="preserve"> van </w:t>
      </w:r>
      <w:r w:rsidR="00CC730E">
        <w:rPr>
          <w:szCs w:val="18"/>
          <w:lang w:val="nl-NL"/>
        </w:rPr>
        <w:t xml:space="preserve">respectievelijk </w:t>
      </w:r>
      <w:r w:rsidR="00033FCB">
        <w:rPr>
          <w:szCs w:val="18"/>
          <w:lang w:val="nl-NL"/>
        </w:rPr>
        <w:t>10</w:t>
      </w:r>
      <w:r w:rsidR="005B0A58">
        <w:rPr>
          <w:szCs w:val="18"/>
          <w:lang w:val="nl-NL"/>
        </w:rPr>
        <w:t xml:space="preserve"> procent</w:t>
      </w:r>
      <w:r w:rsidR="00033FCB">
        <w:rPr>
          <w:szCs w:val="18"/>
          <w:lang w:val="nl-NL"/>
        </w:rPr>
        <w:t>, 25</w:t>
      </w:r>
      <w:r w:rsidR="005B0A58">
        <w:rPr>
          <w:szCs w:val="18"/>
          <w:lang w:val="nl-NL"/>
        </w:rPr>
        <w:t xml:space="preserve"> procent</w:t>
      </w:r>
      <w:r w:rsidR="00033FCB">
        <w:rPr>
          <w:szCs w:val="18"/>
          <w:lang w:val="nl-NL"/>
        </w:rPr>
        <w:t xml:space="preserve"> en 50</w:t>
      </w:r>
      <w:r w:rsidR="005B0A58">
        <w:rPr>
          <w:szCs w:val="18"/>
          <w:lang w:val="nl-NL"/>
        </w:rPr>
        <w:t xml:space="preserve"> procent</w:t>
      </w:r>
      <w:r w:rsidR="00033FCB">
        <w:rPr>
          <w:szCs w:val="18"/>
          <w:lang w:val="nl-NL"/>
        </w:rPr>
        <w:t xml:space="preserve"> komen bovenop het bestaande ‘Most Favoured Nation’ (MFN) tarief dat door de VS wordt gehanteerd</w:t>
      </w:r>
      <w:r w:rsidR="00CC730E">
        <w:rPr>
          <w:szCs w:val="18"/>
          <w:lang w:val="nl-NL"/>
        </w:rPr>
        <w:t xml:space="preserve"> op basis van de in de WTO vastgelegde tarievenschema’s</w:t>
      </w:r>
      <w:r w:rsidR="00033FCB">
        <w:rPr>
          <w:szCs w:val="18"/>
          <w:lang w:val="nl-NL"/>
        </w:rPr>
        <w:t>.</w:t>
      </w:r>
      <w:r w:rsidR="00CC730E">
        <w:rPr>
          <w:szCs w:val="18"/>
          <w:lang w:val="nl-NL"/>
        </w:rPr>
        <w:t xml:space="preserve"> </w:t>
      </w:r>
    </w:p>
    <w:p w:rsidRPr="004A7116" w:rsidR="005015A1" w:rsidP="004A7116" w:rsidRDefault="005015A1" w14:paraId="36B279EE" w14:textId="77777777">
      <w:pPr>
        <w:spacing w:after="0" w:line="240" w:lineRule="exact"/>
        <w:rPr>
          <w:szCs w:val="18"/>
          <w:lang w:val="nl-NL"/>
        </w:rPr>
      </w:pPr>
    </w:p>
    <w:p w:rsidR="0006127A" w:rsidP="004A7116" w:rsidRDefault="002C53F8" w14:paraId="0AFFF7B6" w14:textId="599318D6">
      <w:pPr>
        <w:spacing w:after="0" w:line="240" w:lineRule="exact"/>
        <w:rPr>
          <w:szCs w:val="18"/>
          <w:lang w:val="nl-NL"/>
        </w:rPr>
      </w:pPr>
      <w:r w:rsidRPr="004A7116">
        <w:rPr>
          <w:szCs w:val="18"/>
          <w:lang w:val="nl-NL"/>
        </w:rPr>
        <w:t>Op</w:t>
      </w:r>
      <w:r w:rsidRPr="004A7116" w:rsidR="0006127A">
        <w:rPr>
          <w:szCs w:val="18"/>
          <w:lang w:val="nl-NL"/>
        </w:rPr>
        <w:t xml:space="preserve"> 9 juli aanstaande </w:t>
      </w:r>
      <w:r w:rsidRPr="004A7116">
        <w:rPr>
          <w:szCs w:val="18"/>
          <w:lang w:val="nl-NL"/>
        </w:rPr>
        <w:t xml:space="preserve">verloopt </w:t>
      </w:r>
      <w:r w:rsidRPr="004A7116" w:rsidR="0006127A">
        <w:rPr>
          <w:szCs w:val="18"/>
          <w:lang w:val="nl-NL"/>
        </w:rPr>
        <w:t xml:space="preserve">de 90-dagen pauze van de Amerikaanse landenspecifieke importheffingen </w:t>
      </w:r>
      <w:r w:rsidR="00033FCB">
        <w:rPr>
          <w:szCs w:val="18"/>
          <w:lang w:val="nl-NL"/>
        </w:rPr>
        <w:t>zoals die door president Trump zijn aangekondigd op 2 april jl.</w:t>
      </w:r>
      <w:r w:rsidRPr="004A7116" w:rsidR="0006127A">
        <w:rPr>
          <w:szCs w:val="18"/>
          <w:lang w:val="nl-NL"/>
        </w:rPr>
        <w:t xml:space="preserve"> Aan de andere kant heeft de Europese Commissie het eerste pakket aan Europese rebalancerende maatregelen tot 14 juli opgeschort. Dit pakket bestaat uit verhoogde EU</w:t>
      </w:r>
      <w:r w:rsidR="005D2428">
        <w:rPr>
          <w:szCs w:val="18"/>
          <w:lang w:val="nl-NL"/>
        </w:rPr>
        <w:t>-</w:t>
      </w:r>
      <w:r w:rsidR="00B7228C">
        <w:rPr>
          <w:szCs w:val="18"/>
          <w:lang w:val="nl-NL"/>
        </w:rPr>
        <w:t>heffingen</w:t>
      </w:r>
      <w:r w:rsidRPr="004A7116" w:rsidR="0006127A">
        <w:rPr>
          <w:szCs w:val="18"/>
          <w:lang w:val="nl-NL"/>
        </w:rPr>
        <w:t xml:space="preserve"> op Amerikaanse producten met een totaalwaarde van circa EUR 21 </w:t>
      </w:r>
      <w:r w:rsidR="00C04C14">
        <w:rPr>
          <w:szCs w:val="18"/>
          <w:lang w:val="nl-NL"/>
        </w:rPr>
        <w:t>miljard</w:t>
      </w:r>
      <w:r w:rsidRPr="004A7116" w:rsidR="0006127A">
        <w:rPr>
          <w:szCs w:val="18"/>
          <w:lang w:val="nl-NL"/>
        </w:rPr>
        <w:t xml:space="preserve"> en is een reactie op de eerste </w:t>
      </w:r>
      <w:r w:rsidR="00B7228C">
        <w:rPr>
          <w:szCs w:val="18"/>
          <w:lang w:val="nl-NL"/>
        </w:rPr>
        <w:t>heffingen</w:t>
      </w:r>
      <w:r w:rsidRPr="004A7116" w:rsidR="0006127A">
        <w:rPr>
          <w:szCs w:val="18"/>
          <w:lang w:val="nl-NL"/>
        </w:rPr>
        <w:t xml:space="preserve"> die de VS invoerde op staal en aluminium. </w:t>
      </w:r>
      <w:r w:rsidR="00CC730E">
        <w:rPr>
          <w:szCs w:val="18"/>
          <w:lang w:val="nl-NL"/>
        </w:rPr>
        <w:t>Een tweede pakket aan Europese rebalancerende maatregelen is momenteel in voorbereiding.</w:t>
      </w:r>
    </w:p>
    <w:p w:rsidRPr="004A7116" w:rsidR="004A7116" w:rsidP="004A7116" w:rsidRDefault="004A7116" w14:paraId="5275F9FC" w14:textId="77777777">
      <w:pPr>
        <w:spacing w:after="0" w:line="240" w:lineRule="exact"/>
        <w:rPr>
          <w:szCs w:val="18"/>
          <w:lang w:val="nl-NL"/>
        </w:rPr>
      </w:pPr>
    </w:p>
    <w:p w:rsidR="005550E8" w:rsidP="004A7116" w:rsidRDefault="0006127A" w14:paraId="5D8D02A7" w14:textId="41237A6F">
      <w:pPr>
        <w:spacing w:after="0" w:line="240" w:lineRule="exact"/>
        <w:rPr>
          <w:szCs w:val="18"/>
          <w:lang w:val="nl-NL"/>
        </w:rPr>
      </w:pPr>
      <w:r w:rsidRPr="004A7116">
        <w:rPr>
          <w:szCs w:val="18"/>
          <w:lang w:val="nl-NL"/>
        </w:rPr>
        <w:t xml:space="preserve">De inzet van het kabinet en de EU is </w:t>
      </w:r>
      <w:r w:rsidR="00CC730E">
        <w:rPr>
          <w:szCs w:val="18"/>
          <w:lang w:val="nl-NL"/>
        </w:rPr>
        <w:t>en blijft</w:t>
      </w:r>
      <w:r w:rsidRPr="004A7116">
        <w:rPr>
          <w:szCs w:val="18"/>
          <w:lang w:val="nl-NL"/>
        </w:rPr>
        <w:t xml:space="preserve"> om de Amerikaanse </w:t>
      </w:r>
      <w:r w:rsidR="00B7228C">
        <w:rPr>
          <w:szCs w:val="18"/>
          <w:lang w:val="nl-NL"/>
        </w:rPr>
        <w:t>heffingen</w:t>
      </w:r>
      <w:r w:rsidRPr="004A7116">
        <w:rPr>
          <w:szCs w:val="18"/>
          <w:lang w:val="nl-NL"/>
        </w:rPr>
        <w:t xml:space="preserve"> via onderhandelingen zoveel mogelijk </w:t>
      </w:r>
      <w:r w:rsidRPr="004A7116" w:rsidR="002C53F8">
        <w:rPr>
          <w:szCs w:val="18"/>
          <w:lang w:val="nl-NL"/>
        </w:rPr>
        <w:t>op te heffen</w:t>
      </w:r>
      <w:r w:rsidRPr="004A7116">
        <w:rPr>
          <w:szCs w:val="18"/>
          <w:lang w:val="nl-NL"/>
        </w:rPr>
        <w:t xml:space="preserve">. </w:t>
      </w:r>
      <w:r w:rsidR="005550E8">
        <w:rPr>
          <w:szCs w:val="18"/>
          <w:lang w:val="nl-NL"/>
        </w:rPr>
        <w:t>Op dit moment ligt het niet in de lijn der verwachting dat er in de komende weken een alomvattend akkoord wordt bereikt met de VS. Wel kan mogelijk worden afgesproken een aantal handelsbelemmeringen over en weer te verminderen en vervolgens de gesprekken over de handelsrelatie de komende maanden te vervolgen.</w:t>
      </w:r>
      <w:r w:rsidR="00EF793F">
        <w:rPr>
          <w:szCs w:val="18"/>
          <w:lang w:val="nl-NL"/>
        </w:rPr>
        <w:br/>
      </w:r>
    </w:p>
    <w:p w:rsidRPr="004A7116" w:rsidR="0006127A" w:rsidP="004A7116" w:rsidRDefault="0006127A" w14:paraId="18CEA4C9" w14:textId="350C8E25">
      <w:pPr>
        <w:spacing w:after="0" w:line="240" w:lineRule="exact"/>
        <w:rPr>
          <w:szCs w:val="18"/>
          <w:lang w:val="nl-NL"/>
        </w:rPr>
      </w:pPr>
      <w:r w:rsidRPr="004A7116">
        <w:rPr>
          <w:szCs w:val="18"/>
          <w:lang w:val="nl-NL"/>
        </w:rPr>
        <w:t xml:space="preserve">Tegelijkertijd bereidt het kabinet zich voor op het scenario dat de onderhandelingen geen bevredigend resultaat opleveren en de EU daarom genoodzaakt is om extra maatregelen te treffen om de EU-VS handelsrelatie te rebalanceren. Daarom steunt het kabinet de Europese Commissie in het opstellen van een tweede pakket aan rebalancerende maatregelen. Dit </w:t>
      </w:r>
      <w:r w:rsidR="005550E8">
        <w:rPr>
          <w:szCs w:val="18"/>
          <w:lang w:val="nl-NL"/>
        </w:rPr>
        <w:t xml:space="preserve">tweede pakket zou dan </w:t>
      </w:r>
      <w:r w:rsidRPr="004A7116">
        <w:rPr>
          <w:szCs w:val="18"/>
          <w:lang w:val="nl-NL"/>
        </w:rPr>
        <w:t xml:space="preserve">een reactie </w:t>
      </w:r>
      <w:r w:rsidR="005550E8">
        <w:rPr>
          <w:szCs w:val="18"/>
          <w:lang w:val="nl-NL"/>
        </w:rPr>
        <w:t>zijn</w:t>
      </w:r>
      <w:r w:rsidRPr="004A7116">
        <w:rPr>
          <w:szCs w:val="18"/>
          <w:lang w:val="nl-NL"/>
        </w:rPr>
        <w:t xml:space="preserve"> op </w:t>
      </w:r>
      <w:bookmarkStart w:name="_Hlk201841967" w:id="2"/>
      <w:r w:rsidRPr="004A7116">
        <w:rPr>
          <w:szCs w:val="18"/>
          <w:lang w:val="nl-NL"/>
        </w:rPr>
        <w:t xml:space="preserve">de Amerikaanse </w:t>
      </w:r>
      <w:r w:rsidR="005550E8">
        <w:rPr>
          <w:szCs w:val="18"/>
          <w:lang w:val="nl-NL"/>
        </w:rPr>
        <w:t>“wederzijdse”</w:t>
      </w:r>
      <w:r w:rsidRPr="004A7116">
        <w:rPr>
          <w:szCs w:val="18"/>
          <w:lang w:val="nl-NL"/>
        </w:rPr>
        <w:t xml:space="preserve"> importheffing</w:t>
      </w:r>
      <w:r w:rsidR="005550E8">
        <w:rPr>
          <w:szCs w:val="18"/>
          <w:lang w:val="nl-NL"/>
        </w:rPr>
        <w:t xml:space="preserve"> van 10</w:t>
      </w:r>
      <w:r w:rsidR="00EF793F">
        <w:rPr>
          <w:szCs w:val="18"/>
          <w:lang w:val="nl-NL"/>
        </w:rPr>
        <w:t xml:space="preserve"> procent</w:t>
      </w:r>
      <w:r w:rsidRPr="004A7116" w:rsidR="00EF793F">
        <w:rPr>
          <w:szCs w:val="18"/>
          <w:lang w:val="nl-NL"/>
        </w:rPr>
        <w:t xml:space="preserve">, </w:t>
      </w:r>
      <w:r w:rsidRPr="004A7116">
        <w:rPr>
          <w:szCs w:val="18"/>
          <w:lang w:val="nl-NL"/>
        </w:rPr>
        <w:t xml:space="preserve">de </w:t>
      </w:r>
      <w:r w:rsidR="005550E8">
        <w:rPr>
          <w:szCs w:val="18"/>
          <w:lang w:val="nl-NL"/>
        </w:rPr>
        <w:t>sectorale</w:t>
      </w:r>
      <w:r w:rsidRPr="004A7116">
        <w:rPr>
          <w:szCs w:val="18"/>
          <w:lang w:val="nl-NL"/>
        </w:rPr>
        <w:t xml:space="preserve"> importheffingen op auto’s en de verhoogde heffingen op staal en aluminium.</w:t>
      </w:r>
      <w:bookmarkEnd w:id="2"/>
      <w:r w:rsidRPr="004A7116">
        <w:rPr>
          <w:szCs w:val="18"/>
          <w:lang w:val="nl-NL"/>
        </w:rPr>
        <w:t xml:space="preserve"> Het tweede pakket heeft een periode van publieke consultatie doorlopen </w:t>
      </w:r>
      <w:r w:rsidR="005550E8">
        <w:rPr>
          <w:szCs w:val="18"/>
          <w:lang w:val="nl-NL"/>
        </w:rPr>
        <w:t>en daarnaast is input geleverd door de lidstaten. Ook</w:t>
      </w:r>
      <w:r w:rsidRPr="004A7116">
        <w:rPr>
          <w:szCs w:val="18"/>
          <w:lang w:val="nl-NL"/>
        </w:rPr>
        <w:t xml:space="preserve"> Nederland heeft </w:t>
      </w:r>
      <w:r w:rsidR="005550E8">
        <w:rPr>
          <w:szCs w:val="18"/>
          <w:lang w:val="nl-NL"/>
        </w:rPr>
        <w:t>input aangeleverd bij de Europese Commissie</w:t>
      </w:r>
      <w:r w:rsidRPr="004A7116">
        <w:rPr>
          <w:szCs w:val="18"/>
          <w:lang w:val="nl-NL"/>
        </w:rPr>
        <w:t xml:space="preserve">, mede op basis van inbreng van </w:t>
      </w:r>
      <w:r w:rsidR="005550E8">
        <w:rPr>
          <w:szCs w:val="18"/>
          <w:lang w:val="nl-NL"/>
        </w:rPr>
        <w:t xml:space="preserve">Nederlandse </w:t>
      </w:r>
      <w:r w:rsidRPr="004A7116">
        <w:rPr>
          <w:szCs w:val="18"/>
          <w:lang w:val="nl-NL"/>
        </w:rPr>
        <w:t xml:space="preserve">bedrijven. </w:t>
      </w:r>
      <w:r w:rsidR="005550E8">
        <w:rPr>
          <w:szCs w:val="18"/>
          <w:lang w:val="nl-NL"/>
        </w:rPr>
        <w:t>Momenteel wordt</w:t>
      </w:r>
      <w:r w:rsidRPr="004A7116">
        <w:rPr>
          <w:szCs w:val="18"/>
          <w:lang w:val="nl-NL"/>
        </w:rPr>
        <w:t xml:space="preserve"> alle geleverde input </w:t>
      </w:r>
      <w:r w:rsidR="005550E8">
        <w:rPr>
          <w:szCs w:val="18"/>
          <w:lang w:val="nl-NL"/>
        </w:rPr>
        <w:t>door de Europese Commissie</w:t>
      </w:r>
      <w:r w:rsidRPr="004A7116">
        <w:rPr>
          <w:szCs w:val="18"/>
          <w:lang w:val="nl-NL"/>
        </w:rPr>
        <w:t xml:space="preserve"> verwerkt </w:t>
      </w:r>
      <w:r w:rsidR="005550E8">
        <w:rPr>
          <w:szCs w:val="18"/>
          <w:lang w:val="nl-NL"/>
        </w:rPr>
        <w:t>alvorens een d</w:t>
      </w:r>
      <w:r w:rsidRPr="004A7116">
        <w:rPr>
          <w:szCs w:val="18"/>
          <w:lang w:val="nl-NL"/>
        </w:rPr>
        <w:t>efinitie</w:t>
      </w:r>
      <w:r w:rsidR="005550E8">
        <w:rPr>
          <w:szCs w:val="18"/>
          <w:lang w:val="nl-NL"/>
        </w:rPr>
        <w:t>f</w:t>
      </w:r>
      <w:r w:rsidRPr="004A7116">
        <w:rPr>
          <w:szCs w:val="18"/>
          <w:lang w:val="nl-NL"/>
        </w:rPr>
        <w:t xml:space="preserve"> voorstel aan de lidstaten </w:t>
      </w:r>
      <w:r w:rsidR="005550E8">
        <w:rPr>
          <w:szCs w:val="18"/>
          <w:lang w:val="nl-NL"/>
        </w:rPr>
        <w:t>voor te leggen</w:t>
      </w:r>
      <w:r w:rsidRPr="004A7116">
        <w:rPr>
          <w:szCs w:val="18"/>
          <w:lang w:val="nl-NL"/>
        </w:rPr>
        <w:t xml:space="preserve">. </w:t>
      </w:r>
    </w:p>
    <w:p w:rsidRPr="004A7116" w:rsidR="001137B9" w:rsidP="004A7116" w:rsidRDefault="001137B9" w14:paraId="7247B076" w14:textId="77777777">
      <w:pPr>
        <w:spacing w:after="0" w:line="240" w:lineRule="exact"/>
        <w:rPr>
          <w:rFonts w:eastAsiaTheme="minorEastAsia"/>
          <w:szCs w:val="18"/>
          <w:lang w:val="nl-NL"/>
        </w:rPr>
      </w:pPr>
    </w:p>
    <w:p w:rsidR="000A51BE" w:rsidRDefault="000A51BE" w14:paraId="263FB862" w14:textId="77777777">
      <w:pPr>
        <w:rPr>
          <w:rFonts w:eastAsiaTheme="minorEastAsia"/>
          <w:b/>
          <w:bCs/>
          <w:szCs w:val="18"/>
          <w:lang w:val="nl-NL"/>
        </w:rPr>
      </w:pPr>
      <w:r>
        <w:rPr>
          <w:rFonts w:eastAsiaTheme="minorEastAsia"/>
          <w:b/>
          <w:bCs/>
          <w:szCs w:val="18"/>
          <w:lang w:val="nl-NL"/>
        </w:rPr>
        <w:br w:type="page"/>
      </w:r>
    </w:p>
    <w:p w:rsidRPr="004A7116" w:rsidR="00527E20" w:rsidP="004A7116" w:rsidRDefault="00527E20" w14:paraId="4DC1EFC7" w14:textId="37A0934D">
      <w:pPr>
        <w:spacing w:after="0" w:line="240" w:lineRule="exact"/>
        <w:rPr>
          <w:rFonts w:eastAsiaTheme="minorEastAsia"/>
          <w:szCs w:val="18"/>
          <w:lang w:val="nl-NL"/>
        </w:rPr>
      </w:pPr>
      <w:r w:rsidRPr="004A7116">
        <w:rPr>
          <w:rFonts w:eastAsiaTheme="minorEastAsia"/>
          <w:b/>
          <w:bCs/>
          <w:szCs w:val="18"/>
          <w:lang w:val="nl-NL"/>
        </w:rPr>
        <w:lastRenderedPageBreak/>
        <w:t>Handelsbetrekkingen met China</w:t>
      </w:r>
    </w:p>
    <w:p w:rsidR="004A7116" w:rsidP="004A7116" w:rsidRDefault="004A7116" w14:paraId="5C72921C" w14:textId="77777777">
      <w:pPr>
        <w:spacing w:after="0" w:line="240" w:lineRule="exact"/>
        <w:rPr>
          <w:rFonts w:eastAsiaTheme="minorEastAsia"/>
          <w:szCs w:val="18"/>
          <w:lang w:val="nl-NL"/>
        </w:rPr>
      </w:pPr>
    </w:p>
    <w:p w:rsidR="00527E20" w:rsidP="004A7116" w:rsidRDefault="00812CE0" w14:paraId="24188CEC" w14:textId="78D5055B">
      <w:pPr>
        <w:spacing w:after="0" w:line="240" w:lineRule="exact"/>
        <w:rPr>
          <w:rFonts w:eastAsiaTheme="minorEastAsia"/>
          <w:szCs w:val="18"/>
          <w:lang w:val="nl-NL"/>
        </w:rPr>
      </w:pPr>
      <w:r w:rsidRPr="004A7116">
        <w:rPr>
          <w:rFonts w:eastAsiaTheme="minorEastAsia"/>
          <w:szCs w:val="18"/>
          <w:lang w:val="nl-NL"/>
        </w:rPr>
        <w:t>De Raad zal sp</w:t>
      </w:r>
      <w:r w:rsidRPr="004A7116" w:rsidR="00F71C5E">
        <w:rPr>
          <w:rFonts w:eastAsiaTheme="minorEastAsia"/>
          <w:szCs w:val="18"/>
          <w:lang w:val="nl-NL"/>
        </w:rPr>
        <w:t>r</w:t>
      </w:r>
      <w:r w:rsidRPr="004A7116">
        <w:rPr>
          <w:rFonts w:eastAsiaTheme="minorEastAsia"/>
          <w:szCs w:val="18"/>
          <w:lang w:val="nl-NL"/>
        </w:rPr>
        <w:t xml:space="preserve">eken over de handelsbetrekkingen met China, mede met het oog op de aanstaande EU-China top die in juli 2025 zal plaatsvinden. Naar verwachting zal tijdens deze </w:t>
      </w:r>
      <w:r w:rsidR="00DA6EE8">
        <w:rPr>
          <w:rFonts w:eastAsiaTheme="minorEastAsia"/>
          <w:szCs w:val="18"/>
          <w:lang w:val="nl-NL"/>
        </w:rPr>
        <w:t>t</w:t>
      </w:r>
      <w:r w:rsidRPr="004A7116">
        <w:rPr>
          <w:rFonts w:eastAsiaTheme="minorEastAsia"/>
          <w:szCs w:val="18"/>
          <w:lang w:val="nl-NL"/>
        </w:rPr>
        <w:t>op</w:t>
      </w:r>
      <w:r w:rsidRPr="004A7116" w:rsidR="00197EFE">
        <w:rPr>
          <w:rFonts w:eastAsiaTheme="minorEastAsia"/>
          <w:szCs w:val="18"/>
          <w:lang w:val="nl-NL"/>
        </w:rPr>
        <w:t xml:space="preserve"> </w:t>
      </w:r>
      <w:r w:rsidRPr="004A7116">
        <w:rPr>
          <w:rFonts w:eastAsiaTheme="minorEastAsia"/>
          <w:szCs w:val="18"/>
          <w:lang w:val="nl-NL"/>
        </w:rPr>
        <w:t>ook gesproken worden over de handels</w:t>
      </w:r>
      <w:r w:rsidRPr="004A7116" w:rsidR="00197EFE">
        <w:rPr>
          <w:rFonts w:eastAsiaTheme="minorEastAsia"/>
          <w:szCs w:val="18"/>
          <w:lang w:val="nl-NL"/>
        </w:rPr>
        <w:t>relatie</w:t>
      </w:r>
      <w:r w:rsidRPr="004A7116">
        <w:rPr>
          <w:rFonts w:eastAsiaTheme="minorEastAsia"/>
          <w:szCs w:val="18"/>
          <w:lang w:val="nl-NL"/>
        </w:rPr>
        <w:t xml:space="preserve"> tussen de EU en China.</w:t>
      </w:r>
    </w:p>
    <w:p w:rsidRPr="004A7116" w:rsidR="004A7116" w:rsidP="004A7116" w:rsidRDefault="004A7116" w14:paraId="1FB500F5" w14:textId="77777777">
      <w:pPr>
        <w:spacing w:after="0" w:line="240" w:lineRule="exact"/>
        <w:rPr>
          <w:rFonts w:eastAsiaTheme="minorEastAsia"/>
          <w:szCs w:val="18"/>
          <w:lang w:val="nl-NL"/>
        </w:rPr>
      </w:pPr>
    </w:p>
    <w:p w:rsidRPr="004A7116" w:rsidR="00527E20" w:rsidP="004A7116" w:rsidRDefault="00197EFE" w14:paraId="099F4342" w14:textId="5FAC82F7">
      <w:pPr>
        <w:spacing w:after="0" w:line="240" w:lineRule="exact"/>
        <w:rPr>
          <w:rFonts w:eastAsiaTheme="minorEastAsia"/>
          <w:szCs w:val="18"/>
          <w:lang w:val="nl-NL"/>
        </w:rPr>
      </w:pPr>
      <w:r w:rsidRPr="004A7116">
        <w:rPr>
          <w:rFonts w:eastAsiaTheme="minorEastAsia"/>
          <w:szCs w:val="18"/>
          <w:lang w:val="nl-NL"/>
        </w:rPr>
        <w:t xml:space="preserve">Wat het kabinet betreft is het belangrijk dat de EU in gesprek blijft met China en daarbij samenwerking zoekt op de terreinen waar dat in ons beider belang is. China is immers een belangrijke economische partner voor de EU. Tegelijkertijd zijn er aanzienlijke zorgen die de handelsrelatie met China bemoeilijken, zoals over oneerlijke subsidies, overcapaciteit en beperkte markttoegang voor Europese partijen die het gelijke speelveld in de weg staan. </w:t>
      </w:r>
      <w:r w:rsidRPr="004A7116" w:rsidR="002D1BB2">
        <w:rPr>
          <w:rFonts w:eastAsiaTheme="minorEastAsia"/>
          <w:szCs w:val="18"/>
          <w:lang w:val="nl-NL"/>
        </w:rPr>
        <w:t>Een effectieve inzet van het EU-handelsinstrumentarium is een belangrijk onderdeel van een assertief EU-handelsbeleid dat de economische belangen van de EU beschermt</w:t>
      </w:r>
      <w:r w:rsidR="002D1BB2">
        <w:rPr>
          <w:rFonts w:eastAsiaTheme="minorEastAsia"/>
          <w:szCs w:val="18"/>
          <w:lang w:val="nl-NL"/>
        </w:rPr>
        <w:t xml:space="preserve">. </w:t>
      </w:r>
      <w:r w:rsidRPr="004A7116" w:rsidR="008839B8">
        <w:rPr>
          <w:rFonts w:eastAsiaTheme="minorEastAsia"/>
          <w:szCs w:val="18"/>
          <w:lang w:val="nl-NL"/>
        </w:rPr>
        <w:t xml:space="preserve">Ook heeft het kabinet zorgen over de </w:t>
      </w:r>
      <w:r w:rsidRPr="004A7116" w:rsidR="00321968">
        <w:rPr>
          <w:rFonts w:eastAsiaTheme="minorEastAsia"/>
          <w:szCs w:val="18"/>
          <w:lang w:val="nl-NL"/>
        </w:rPr>
        <w:t>brede</w:t>
      </w:r>
      <w:r w:rsidRPr="004A7116" w:rsidR="008839B8">
        <w:rPr>
          <w:rFonts w:eastAsiaTheme="minorEastAsia"/>
          <w:szCs w:val="18"/>
          <w:lang w:val="nl-NL"/>
        </w:rPr>
        <w:t xml:space="preserve"> exportcontrolemaatregelen die China neemt op </w:t>
      </w:r>
      <w:r w:rsidRPr="004A7116" w:rsidR="00321968">
        <w:rPr>
          <w:rFonts w:eastAsiaTheme="minorEastAsia"/>
          <w:szCs w:val="18"/>
          <w:lang w:val="nl-NL"/>
        </w:rPr>
        <w:t>kritieke grondstoffen</w:t>
      </w:r>
      <w:r w:rsidRPr="004A7116" w:rsidR="008839B8">
        <w:rPr>
          <w:rFonts w:eastAsiaTheme="minorEastAsia"/>
          <w:szCs w:val="18"/>
          <w:lang w:val="nl-NL"/>
        </w:rPr>
        <w:t xml:space="preserve">. </w:t>
      </w:r>
      <w:r w:rsidRPr="004A7116">
        <w:rPr>
          <w:rFonts w:eastAsiaTheme="minorEastAsia"/>
          <w:szCs w:val="18"/>
          <w:lang w:val="nl-NL"/>
        </w:rPr>
        <w:t xml:space="preserve">Het kabinet zal er in de Raad voor pleiten dat de Commissie deze zorgen blijvend onder de aandacht brengt in China. </w:t>
      </w:r>
      <w:r w:rsidRPr="004A7116" w:rsidR="00F71C5E">
        <w:rPr>
          <w:rFonts w:eastAsiaTheme="minorEastAsia"/>
          <w:szCs w:val="18"/>
          <w:lang w:val="nl-NL"/>
        </w:rPr>
        <w:t xml:space="preserve">De EU-China top biedt daar een belangrijke gelegenheid toe. </w:t>
      </w:r>
      <w:r w:rsidRPr="004A7116" w:rsidR="008839B8">
        <w:rPr>
          <w:rFonts w:eastAsiaTheme="minorEastAsia"/>
          <w:szCs w:val="18"/>
          <w:lang w:val="nl-NL"/>
        </w:rPr>
        <w:br/>
      </w:r>
    </w:p>
    <w:p w:rsidRPr="004A7116" w:rsidR="00527E20" w:rsidP="004A7116" w:rsidRDefault="00527E20" w14:paraId="6BDB0E56" w14:textId="7BD266AE">
      <w:pPr>
        <w:spacing w:after="0" w:line="240" w:lineRule="exact"/>
        <w:rPr>
          <w:rFonts w:eastAsiaTheme="minorEastAsia"/>
          <w:b/>
          <w:bCs/>
          <w:color w:val="FF0000"/>
          <w:szCs w:val="18"/>
          <w:lang w:val="nl-NL"/>
        </w:rPr>
      </w:pPr>
      <w:r w:rsidRPr="004A7116">
        <w:rPr>
          <w:rFonts w:eastAsiaTheme="minorEastAsia"/>
          <w:b/>
          <w:bCs/>
          <w:szCs w:val="18"/>
          <w:lang w:val="nl-NL"/>
        </w:rPr>
        <w:t>Lopende onderhandelingen</w:t>
      </w:r>
      <w:r w:rsidRPr="004A7116">
        <w:rPr>
          <w:rFonts w:eastAsiaTheme="minorEastAsia"/>
          <w:b/>
          <w:color w:val="FF0000"/>
          <w:szCs w:val="18"/>
          <w:lang w:val="nl-NL"/>
        </w:rPr>
        <w:t xml:space="preserve"> </w:t>
      </w:r>
    </w:p>
    <w:p w:rsidR="004A7116" w:rsidP="004A7116" w:rsidRDefault="004A7116" w14:paraId="14A521A8" w14:textId="77777777">
      <w:pPr>
        <w:spacing w:after="0" w:line="240" w:lineRule="exact"/>
        <w:rPr>
          <w:rFonts w:eastAsiaTheme="minorEastAsia"/>
          <w:szCs w:val="18"/>
          <w:lang w:val="nl-NL"/>
        </w:rPr>
      </w:pPr>
    </w:p>
    <w:p w:rsidRPr="004A7116" w:rsidR="00D94AE8" w:rsidP="004A7116" w:rsidRDefault="00D94AE8" w14:paraId="498489E3" w14:textId="325C2932">
      <w:pPr>
        <w:spacing w:after="0" w:line="240" w:lineRule="exact"/>
        <w:rPr>
          <w:rFonts w:eastAsiaTheme="minorEastAsia"/>
          <w:szCs w:val="18"/>
          <w:lang w:val="nl-NL"/>
        </w:rPr>
      </w:pPr>
      <w:r w:rsidRPr="004A7116">
        <w:rPr>
          <w:rFonts w:eastAsiaTheme="minorEastAsia"/>
          <w:szCs w:val="18"/>
          <w:lang w:val="nl-NL"/>
        </w:rPr>
        <w:t>De Raad zal naar aanleiding van een toelichting van de Commissie stilstaan bij verschillende bilaterale handelsrelaties, inclusief aangekondigde, lopende en afgeronde onderhandelingen over handelsakkoorden. Naar verwachting betreft dit onder andere de onderhandelingen met</w:t>
      </w:r>
    </w:p>
    <w:p w:rsidRPr="004A7116" w:rsidR="00527E20" w:rsidP="004A7116" w:rsidRDefault="00D94AE8" w14:paraId="033532E9" w14:textId="216BE21F">
      <w:pPr>
        <w:spacing w:after="0" w:line="240" w:lineRule="exact"/>
        <w:rPr>
          <w:rFonts w:eastAsiaTheme="minorEastAsia"/>
          <w:szCs w:val="18"/>
          <w:lang w:val="nl-NL"/>
        </w:rPr>
      </w:pPr>
      <w:r w:rsidRPr="004A7116">
        <w:rPr>
          <w:rFonts w:eastAsiaTheme="minorEastAsia"/>
          <w:szCs w:val="18"/>
          <w:lang w:val="nl-NL"/>
        </w:rPr>
        <w:t>Indonesië</w:t>
      </w:r>
      <w:r w:rsidR="002B7B0C">
        <w:rPr>
          <w:rFonts w:eastAsiaTheme="minorEastAsia"/>
          <w:szCs w:val="18"/>
          <w:lang w:val="nl-NL"/>
        </w:rPr>
        <w:t>;</w:t>
      </w:r>
      <w:r w:rsidRPr="004A7116">
        <w:rPr>
          <w:rFonts w:eastAsiaTheme="minorEastAsia"/>
          <w:szCs w:val="18"/>
          <w:lang w:val="nl-NL"/>
        </w:rPr>
        <w:t xml:space="preserve"> de vier Mercosur-landen</w:t>
      </w:r>
      <w:r w:rsidR="00A54EAD">
        <w:rPr>
          <w:rFonts w:eastAsiaTheme="minorEastAsia"/>
          <w:szCs w:val="18"/>
          <w:lang w:val="nl-NL"/>
        </w:rPr>
        <w:t xml:space="preserve"> </w:t>
      </w:r>
      <w:r w:rsidRPr="00A54EAD" w:rsidR="00A54EAD">
        <w:rPr>
          <w:rFonts w:eastAsiaTheme="minorEastAsia"/>
          <w:szCs w:val="18"/>
          <w:lang w:val="nl-NL"/>
        </w:rPr>
        <w:t>Brazilië, Argentinië, Paraguay en Uruguay</w:t>
      </w:r>
      <w:r w:rsidR="002B7B0C">
        <w:rPr>
          <w:rFonts w:eastAsiaTheme="minorEastAsia"/>
          <w:szCs w:val="18"/>
          <w:lang w:val="nl-NL"/>
        </w:rPr>
        <w:t>;</w:t>
      </w:r>
      <w:r w:rsidRPr="004A7116">
        <w:rPr>
          <w:rFonts w:eastAsiaTheme="minorEastAsia"/>
          <w:szCs w:val="18"/>
          <w:lang w:val="nl-NL"/>
        </w:rPr>
        <w:t xml:space="preserve"> Mexico</w:t>
      </w:r>
      <w:r w:rsidR="002B7B0C">
        <w:rPr>
          <w:rFonts w:eastAsiaTheme="minorEastAsia"/>
          <w:szCs w:val="18"/>
          <w:lang w:val="nl-NL"/>
        </w:rPr>
        <w:t>;</w:t>
      </w:r>
      <w:r w:rsidRPr="004A7116">
        <w:rPr>
          <w:rFonts w:eastAsiaTheme="minorEastAsia"/>
          <w:szCs w:val="18"/>
          <w:lang w:val="nl-NL"/>
        </w:rPr>
        <w:t xml:space="preserve"> India</w:t>
      </w:r>
      <w:r w:rsidR="002B7B0C">
        <w:rPr>
          <w:rFonts w:eastAsiaTheme="minorEastAsia"/>
          <w:szCs w:val="18"/>
          <w:lang w:val="nl-NL"/>
        </w:rPr>
        <w:t>;</w:t>
      </w:r>
      <w:r w:rsidRPr="004A7116">
        <w:rPr>
          <w:rFonts w:eastAsiaTheme="minorEastAsia"/>
          <w:szCs w:val="18"/>
          <w:lang w:val="nl-NL"/>
        </w:rPr>
        <w:t xml:space="preserve"> en de Verenigde Arabische Emiraten. </w:t>
      </w:r>
    </w:p>
    <w:p w:rsidRPr="004A7116" w:rsidR="00527E20" w:rsidP="004A7116" w:rsidRDefault="00527E20" w14:paraId="7AF43E68" w14:textId="77777777">
      <w:pPr>
        <w:spacing w:after="0" w:line="240" w:lineRule="exact"/>
        <w:rPr>
          <w:rFonts w:eastAsiaTheme="minorEastAsia"/>
          <w:szCs w:val="18"/>
          <w:lang w:val="nl-NL"/>
        </w:rPr>
      </w:pPr>
    </w:p>
    <w:p w:rsidRPr="004A7116" w:rsidR="00D94AE8" w:rsidP="004A7116" w:rsidRDefault="00D94AE8" w14:paraId="33FD35AE" w14:textId="4E458EF9">
      <w:pPr>
        <w:spacing w:after="0" w:line="240" w:lineRule="exact"/>
        <w:rPr>
          <w:rFonts w:eastAsiaTheme="minorEastAsia"/>
          <w:szCs w:val="18"/>
          <w:lang w:val="nl-NL"/>
        </w:rPr>
      </w:pPr>
      <w:r w:rsidRPr="004A7116">
        <w:rPr>
          <w:rFonts w:eastAsiaTheme="minorEastAsia"/>
          <w:szCs w:val="18"/>
          <w:lang w:val="nl-NL"/>
        </w:rPr>
        <w:t>Zoals bekend zet het kabinet in op een actief handelsbeleid, waarin handelsakkoorden een belangrijk instrument zijn. Handelsakkoorden kunnen bijdragen aan het vergroten van de economische weerbaarheid en slagvaardigheid van Nederland en de EU en zorgen voor verbeterde markttoegang voor ondernemers. Bovendien faciliteren handelsakkoorden de diversificatie van handelspartners en mitigeren daarmee de risico’s van strategische afhankelijkheden. Tegelijkertijd blijft gelden dat het kabinet ieder nieuw akkoord op de merites beoordeelt voorafgaand aan besluitvorming, met als uitgangspunt dat deze akkoorden moeten bijdragen aan het versterken van de Nederlandse economie.</w:t>
      </w:r>
    </w:p>
    <w:p w:rsidRPr="004A7116" w:rsidR="00043B6C" w:rsidP="004A7116" w:rsidRDefault="00043B6C" w14:paraId="1FA596EE" w14:textId="77777777">
      <w:pPr>
        <w:spacing w:after="0" w:line="240" w:lineRule="exact"/>
        <w:rPr>
          <w:rFonts w:eastAsiaTheme="minorEastAsia"/>
          <w:szCs w:val="18"/>
          <w:lang w:val="nl-NL"/>
        </w:rPr>
      </w:pPr>
    </w:p>
    <w:p w:rsidRPr="004A7116" w:rsidR="003E3D7E" w:rsidP="004A7116" w:rsidRDefault="0006348A" w14:paraId="00FD81F1" w14:textId="32B08DA8">
      <w:pPr>
        <w:spacing w:after="0" w:line="240" w:lineRule="exact"/>
        <w:rPr>
          <w:rFonts w:eastAsiaTheme="minorEastAsia"/>
          <w:b/>
          <w:bCs/>
          <w:szCs w:val="18"/>
          <w:lang w:val="nl-NL"/>
        </w:rPr>
      </w:pPr>
      <w:r>
        <w:rPr>
          <w:rFonts w:eastAsiaTheme="minorEastAsia"/>
          <w:b/>
          <w:bCs/>
          <w:szCs w:val="18"/>
          <w:lang w:val="nl-NL"/>
        </w:rPr>
        <w:t>Overig</w:t>
      </w:r>
    </w:p>
    <w:p w:rsidR="004A7116" w:rsidP="004A7116" w:rsidRDefault="004A7116" w14:paraId="57F53591" w14:textId="77777777">
      <w:pPr>
        <w:spacing w:after="0" w:line="240" w:lineRule="exact"/>
        <w:rPr>
          <w:rFonts w:eastAsiaTheme="minorEastAsia"/>
          <w:szCs w:val="18"/>
          <w:u w:val="single"/>
          <w:lang w:val="nl-NL"/>
        </w:rPr>
      </w:pPr>
    </w:p>
    <w:p w:rsidRPr="004A7116" w:rsidR="001137B9" w:rsidP="004A7116" w:rsidRDefault="00403787" w14:paraId="53D91219" w14:textId="6B7809C5">
      <w:pPr>
        <w:spacing w:after="0" w:line="240" w:lineRule="exact"/>
        <w:rPr>
          <w:rFonts w:eastAsiaTheme="minorEastAsia"/>
          <w:szCs w:val="18"/>
          <w:u w:val="single"/>
          <w:lang w:val="nl-NL"/>
        </w:rPr>
      </w:pPr>
      <w:r w:rsidRPr="0023459C">
        <w:rPr>
          <w:rFonts w:eastAsiaTheme="minorEastAsia"/>
          <w:b/>
          <w:bCs/>
          <w:szCs w:val="18"/>
          <w:lang w:val="nl-NL"/>
        </w:rPr>
        <w:t>Eerste inzet EU Internationaal Aanbestedingsinstrument</w:t>
      </w:r>
      <w:r w:rsidR="0023459C">
        <w:rPr>
          <w:rFonts w:eastAsiaTheme="minorEastAsia"/>
          <w:b/>
          <w:bCs/>
          <w:szCs w:val="18"/>
          <w:lang w:val="nl-NL"/>
        </w:rPr>
        <w:t xml:space="preserve"> </w:t>
      </w:r>
      <w:r w:rsidRPr="0023459C">
        <w:rPr>
          <w:rFonts w:eastAsiaTheme="minorEastAsia"/>
          <w:b/>
          <w:bCs/>
          <w:szCs w:val="18"/>
          <w:lang w:val="nl-NL"/>
        </w:rPr>
        <w:t>(IPI)</w:t>
      </w:r>
    </w:p>
    <w:p w:rsidR="000E1CE3" w:rsidP="004A7116" w:rsidRDefault="00156F8E" w14:paraId="557BAB22" w14:textId="4B39FE64">
      <w:pPr>
        <w:spacing w:after="0" w:line="240" w:lineRule="exact"/>
        <w:rPr>
          <w:rFonts w:eastAsiaTheme="minorEastAsia"/>
          <w:szCs w:val="18"/>
          <w:lang w:val="nl-NL"/>
        </w:rPr>
      </w:pPr>
      <w:r w:rsidRPr="004A7116">
        <w:rPr>
          <w:rFonts w:eastAsiaTheme="minorEastAsia"/>
          <w:szCs w:val="18"/>
          <w:lang w:val="nl-NL"/>
        </w:rPr>
        <w:t>Vanaf 30 juni jl</w:t>
      </w:r>
      <w:r w:rsidRPr="004A7116" w:rsidR="009B189A">
        <w:rPr>
          <w:rFonts w:eastAsiaTheme="minorEastAsia"/>
          <w:szCs w:val="18"/>
          <w:lang w:val="nl-NL"/>
        </w:rPr>
        <w:t>.</w:t>
      </w:r>
      <w:r w:rsidRPr="004A7116" w:rsidR="00B70D23">
        <w:rPr>
          <w:rFonts w:eastAsiaTheme="minorEastAsia"/>
          <w:szCs w:val="18"/>
          <w:lang w:val="nl-NL"/>
        </w:rPr>
        <w:t xml:space="preserve"> </w:t>
      </w:r>
      <w:r w:rsidRPr="004A7116" w:rsidR="00D8042E">
        <w:rPr>
          <w:rFonts w:eastAsiaTheme="minorEastAsia"/>
          <w:szCs w:val="18"/>
          <w:lang w:val="nl-NL"/>
        </w:rPr>
        <w:t xml:space="preserve">sluit de EU Chinese bedrijven uit van aanbestedingsprocedures voor medische apparatuur. </w:t>
      </w:r>
      <w:r w:rsidRPr="004A7116" w:rsidR="00B70D23">
        <w:rPr>
          <w:rFonts w:eastAsiaTheme="minorEastAsia"/>
          <w:szCs w:val="18"/>
          <w:lang w:val="nl-NL"/>
        </w:rPr>
        <w:t>Deze maatregel betreft de eerste inzet van het EU Internationaal Aanbestedingsinstrument (</w:t>
      </w:r>
      <w:r w:rsidRPr="004A7116" w:rsidR="00B70D23">
        <w:rPr>
          <w:rFonts w:eastAsiaTheme="minorEastAsia"/>
          <w:i/>
          <w:szCs w:val="18"/>
          <w:lang w:val="nl-NL"/>
        </w:rPr>
        <w:t>International Procurement Instrument</w:t>
      </w:r>
      <w:r w:rsidRPr="004A7116" w:rsidR="00B70D23">
        <w:rPr>
          <w:rFonts w:eastAsiaTheme="minorEastAsia"/>
          <w:szCs w:val="18"/>
          <w:lang w:val="nl-NL"/>
        </w:rPr>
        <w:t>, IPI) en zal van toepassing zijn op aanbestedingsprocedures met een waarde van meer dan EUR 5 m</w:t>
      </w:r>
      <w:r w:rsidR="00B31905">
        <w:rPr>
          <w:rFonts w:eastAsiaTheme="minorEastAsia"/>
          <w:szCs w:val="18"/>
          <w:lang w:val="nl-NL"/>
        </w:rPr>
        <w:t>iljoen</w:t>
      </w:r>
      <w:r w:rsidRPr="004A7116" w:rsidR="00B70D23">
        <w:rPr>
          <w:rFonts w:eastAsiaTheme="minorEastAsia"/>
          <w:szCs w:val="18"/>
          <w:lang w:val="nl-NL"/>
        </w:rPr>
        <w:t xml:space="preserve">. </w:t>
      </w:r>
      <w:r w:rsidRPr="004A7116">
        <w:rPr>
          <w:rFonts w:eastAsiaTheme="minorEastAsia"/>
          <w:szCs w:val="18"/>
          <w:lang w:val="nl-NL"/>
        </w:rPr>
        <w:t xml:space="preserve">Daarnaast mogen </w:t>
      </w:r>
      <w:r w:rsidRPr="004A7116" w:rsidR="00D168A3">
        <w:rPr>
          <w:rFonts w:eastAsiaTheme="minorEastAsia"/>
          <w:szCs w:val="18"/>
          <w:lang w:val="nl-NL"/>
        </w:rPr>
        <w:t>gewonnen</w:t>
      </w:r>
      <w:r w:rsidRPr="004A7116">
        <w:rPr>
          <w:rFonts w:eastAsiaTheme="minorEastAsia"/>
          <w:szCs w:val="18"/>
          <w:lang w:val="nl-NL"/>
        </w:rPr>
        <w:t xml:space="preserve"> tenders</w:t>
      </w:r>
      <w:r w:rsidRPr="004A7116" w:rsidR="00D168A3">
        <w:rPr>
          <w:rFonts w:eastAsiaTheme="minorEastAsia"/>
          <w:szCs w:val="18"/>
          <w:lang w:val="nl-NL"/>
        </w:rPr>
        <w:t xml:space="preserve"> voor</w:t>
      </w:r>
      <w:r w:rsidRPr="004A7116">
        <w:rPr>
          <w:rFonts w:eastAsiaTheme="minorEastAsia"/>
          <w:szCs w:val="18"/>
          <w:lang w:val="nl-NL"/>
        </w:rPr>
        <w:t xml:space="preserve"> </w:t>
      </w:r>
      <w:r w:rsidRPr="004A7116" w:rsidR="00D168A3">
        <w:rPr>
          <w:rFonts w:eastAsiaTheme="minorEastAsia"/>
          <w:szCs w:val="18"/>
          <w:lang w:val="nl-NL"/>
        </w:rPr>
        <w:t>niet meer dan 50</w:t>
      </w:r>
      <w:r w:rsidR="00CE1E36">
        <w:rPr>
          <w:rFonts w:eastAsiaTheme="minorEastAsia"/>
          <w:szCs w:val="18"/>
          <w:lang w:val="nl-NL"/>
        </w:rPr>
        <w:t xml:space="preserve"> procent</w:t>
      </w:r>
      <w:r w:rsidRPr="004A7116" w:rsidR="00D168A3">
        <w:rPr>
          <w:rFonts w:eastAsiaTheme="minorEastAsia"/>
          <w:szCs w:val="18"/>
          <w:lang w:val="nl-NL"/>
        </w:rPr>
        <w:t xml:space="preserve"> uit Chinese input bestaan. </w:t>
      </w:r>
      <w:r w:rsidRPr="004A7116">
        <w:rPr>
          <w:rFonts w:eastAsiaTheme="minorEastAsia"/>
          <w:szCs w:val="18"/>
          <w:lang w:val="nl-NL"/>
        </w:rPr>
        <w:t xml:space="preserve">Aanbestedende </w:t>
      </w:r>
      <w:r w:rsidR="002B7B0C">
        <w:rPr>
          <w:rFonts w:eastAsiaTheme="minorEastAsia"/>
          <w:szCs w:val="18"/>
          <w:lang w:val="nl-NL"/>
        </w:rPr>
        <w:t>overheids</w:t>
      </w:r>
      <w:r w:rsidRPr="004A7116">
        <w:rPr>
          <w:rFonts w:eastAsiaTheme="minorEastAsia"/>
          <w:szCs w:val="18"/>
          <w:lang w:val="nl-NL"/>
        </w:rPr>
        <w:t>diensten hoeven de IPI-maatregel niet toe te passen indien geen alternatieve aanbieders beschikbaar zijn</w:t>
      </w:r>
      <w:r w:rsidRPr="004A7116" w:rsidR="00B70D23">
        <w:rPr>
          <w:rFonts w:eastAsiaTheme="minorEastAsia"/>
          <w:szCs w:val="18"/>
          <w:lang w:val="nl-NL"/>
        </w:rPr>
        <w:t>.</w:t>
      </w:r>
      <w:r w:rsidRPr="004A7116">
        <w:rPr>
          <w:rFonts w:eastAsiaTheme="minorEastAsia"/>
          <w:szCs w:val="18"/>
          <w:lang w:val="nl-NL"/>
        </w:rPr>
        <w:t xml:space="preserve"> </w:t>
      </w:r>
      <w:r w:rsidRPr="004A7116" w:rsidR="00B70D23">
        <w:rPr>
          <w:rFonts w:eastAsiaTheme="minorEastAsia"/>
          <w:szCs w:val="18"/>
          <w:lang w:val="nl-NL"/>
        </w:rPr>
        <w:t xml:space="preserve">Deze IPI-maatregel volgt op een onderzoek naar de Chinese aanbestedingsmarkt voor medische appratuur waarin de </w:t>
      </w:r>
      <w:r w:rsidRPr="004A7116">
        <w:rPr>
          <w:rFonts w:eastAsiaTheme="minorEastAsia"/>
          <w:szCs w:val="18"/>
          <w:lang w:val="nl-NL"/>
        </w:rPr>
        <w:t xml:space="preserve">Europese </w:t>
      </w:r>
      <w:r w:rsidRPr="004A7116" w:rsidR="00B70D23">
        <w:rPr>
          <w:rFonts w:eastAsiaTheme="minorEastAsia"/>
          <w:szCs w:val="18"/>
          <w:lang w:val="nl-NL"/>
        </w:rPr>
        <w:t xml:space="preserve">Commissie concludeert dat Europese bedrijven op wijdverspreide en systematische </w:t>
      </w:r>
      <w:r w:rsidRPr="004A7116" w:rsidR="00DD798E">
        <w:rPr>
          <w:rFonts w:eastAsiaTheme="minorEastAsia"/>
          <w:szCs w:val="18"/>
          <w:lang w:val="nl-NL"/>
        </w:rPr>
        <w:t>wijze worden benadeeld</w:t>
      </w:r>
      <w:r w:rsidRPr="004A7116" w:rsidR="00B70D23">
        <w:rPr>
          <w:rFonts w:eastAsiaTheme="minorEastAsia"/>
          <w:szCs w:val="18"/>
          <w:lang w:val="nl-NL"/>
        </w:rPr>
        <w:t>.</w:t>
      </w:r>
      <w:r w:rsidRPr="004A7116" w:rsidR="00B70D23">
        <w:rPr>
          <w:rFonts w:eastAsiaTheme="minorEastAsia"/>
          <w:szCs w:val="18"/>
          <w:vertAlign w:val="superscript"/>
          <w:lang w:val="nl-NL"/>
        </w:rPr>
        <w:footnoteReference w:id="2"/>
      </w:r>
      <w:r w:rsidRPr="004A7116" w:rsidR="00B70D23">
        <w:rPr>
          <w:rFonts w:eastAsiaTheme="minorEastAsia"/>
          <w:szCs w:val="18"/>
          <w:vertAlign w:val="superscript"/>
          <w:lang w:val="nl-NL"/>
        </w:rPr>
        <w:t xml:space="preserve"> </w:t>
      </w:r>
      <w:r w:rsidRPr="004A7116" w:rsidR="00B70D23">
        <w:rPr>
          <w:rFonts w:eastAsiaTheme="minorEastAsia"/>
          <w:szCs w:val="18"/>
          <w:lang w:val="nl-NL"/>
        </w:rPr>
        <w:t xml:space="preserve">Met deze IPI-maatregel </w:t>
      </w:r>
      <w:r w:rsidR="002B7B0C">
        <w:rPr>
          <w:rFonts w:eastAsiaTheme="minorEastAsia"/>
          <w:szCs w:val="18"/>
          <w:lang w:val="nl-NL"/>
        </w:rPr>
        <w:t>be</w:t>
      </w:r>
      <w:r w:rsidRPr="004A7116">
        <w:rPr>
          <w:rFonts w:eastAsiaTheme="minorEastAsia"/>
          <w:szCs w:val="18"/>
          <w:lang w:val="nl-NL"/>
        </w:rPr>
        <w:t>oogt</w:t>
      </w:r>
      <w:r w:rsidRPr="004A7116" w:rsidR="00B70D23">
        <w:rPr>
          <w:rFonts w:eastAsiaTheme="minorEastAsia"/>
          <w:szCs w:val="18"/>
          <w:lang w:val="nl-NL"/>
        </w:rPr>
        <w:t xml:space="preserve"> de EU </w:t>
      </w:r>
      <w:r w:rsidRPr="004A7116" w:rsidR="00403787">
        <w:rPr>
          <w:rFonts w:eastAsiaTheme="minorEastAsia"/>
          <w:szCs w:val="18"/>
          <w:lang w:val="nl-NL"/>
        </w:rPr>
        <w:t xml:space="preserve">de </w:t>
      </w:r>
      <w:r w:rsidRPr="004A7116" w:rsidR="00B70D23">
        <w:rPr>
          <w:rFonts w:eastAsiaTheme="minorEastAsia"/>
          <w:szCs w:val="18"/>
          <w:lang w:val="nl-NL"/>
        </w:rPr>
        <w:t xml:space="preserve">wederkerigheid tussen de Europese en Chinese aanbestedingsmarkt </w:t>
      </w:r>
      <w:r w:rsidRPr="004A7116" w:rsidR="00237F76">
        <w:rPr>
          <w:rFonts w:eastAsiaTheme="minorEastAsia"/>
          <w:szCs w:val="18"/>
          <w:lang w:val="nl-NL"/>
        </w:rPr>
        <w:t xml:space="preserve">voor medische apparatuur </w:t>
      </w:r>
      <w:r w:rsidRPr="004A7116" w:rsidR="00B70D23">
        <w:rPr>
          <w:rFonts w:eastAsiaTheme="minorEastAsia"/>
          <w:szCs w:val="18"/>
          <w:lang w:val="nl-NL"/>
        </w:rPr>
        <w:t xml:space="preserve">te </w:t>
      </w:r>
      <w:r w:rsidRPr="004A7116" w:rsidR="000427FE">
        <w:rPr>
          <w:rFonts w:eastAsiaTheme="minorEastAsia"/>
          <w:szCs w:val="18"/>
          <w:lang w:val="nl-NL"/>
        </w:rPr>
        <w:t>verbeteren</w:t>
      </w:r>
      <w:r w:rsidRPr="004A7116" w:rsidR="00B003B1">
        <w:rPr>
          <w:rFonts w:eastAsiaTheme="minorEastAsia"/>
          <w:szCs w:val="18"/>
          <w:lang w:val="nl-NL"/>
        </w:rPr>
        <w:t xml:space="preserve"> en daarmee het gelijke speelveld voor Europese bedrijven te verbeteren</w:t>
      </w:r>
      <w:r w:rsidRPr="004A7116">
        <w:rPr>
          <w:rFonts w:eastAsiaTheme="minorEastAsia"/>
          <w:szCs w:val="18"/>
          <w:lang w:val="nl-NL"/>
        </w:rPr>
        <w:t xml:space="preserve">. </w:t>
      </w:r>
      <w:r w:rsidR="002D1BB2">
        <w:rPr>
          <w:rFonts w:eastAsiaTheme="minorEastAsia"/>
          <w:szCs w:val="18"/>
          <w:lang w:val="nl-NL"/>
        </w:rPr>
        <w:t>Zoals ook al hierboven aangeven is e</w:t>
      </w:r>
      <w:r w:rsidRPr="004A7116" w:rsidR="00B70D23">
        <w:rPr>
          <w:rFonts w:eastAsiaTheme="minorEastAsia"/>
          <w:szCs w:val="18"/>
          <w:lang w:val="nl-NL"/>
        </w:rPr>
        <w:t>en effectieve inzet van het EU</w:t>
      </w:r>
      <w:r w:rsidRPr="004A7116" w:rsidR="00B003B1">
        <w:rPr>
          <w:rFonts w:eastAsiaTheme="minorEastAsia"/>
          <w:szCs w:val="18"/>
          <w:lang w:val="nl-NL"/>
        </w:rPr>
        <w:t>-</w:t>
      </w:r>
      <w:r w:rsidRPr="004A7116" w:rsidR="00B70D23">
        <w:rPr>
          <w:rFonts w:eastAsiaTheme="minorEastAsia"/>
          <w:szCs w:val="18"/>
          <w:lang w:val="nl-NL"/>
        </w:rPr>
        <w:t xml:space="preserve">handelsinstrumentarium </w:t>
      </w:r>
      <w:r w:rsidRPr="004A7116" w:rsidR="005E76B6">
        <w:rPr>
          <w:rFonts w:eastAsiaTheme="minorEastAsia"/>
          <w:szCs w:val="18"/>
          <w:lang w:val="nl-NL"/>
        </w:rPr>
        <w:t>een belangrijk onderdeel van een assertief EU</w:t>
      </w:r>
      <w:r w:rsidRPr="004A7116" w:rsidR="00B003B1">
        <w:rPr>
          <w:rFonts w:eastAsiaTheme="minorEastAsia"/>
          <w:szCs w:val="18"/>
          <w:lang w:val="nl-NL"/>
        </w:rPr>
        <w:t>-</w:t>
      </w:r>
      <w:r w:rsidRPr="004A7116" w:rsidR="005E76B6">
        <w:rPr>
          <w:rFonts w:eastAsiaTheme="minorEastAsia"/>
          <w:szCs w:val="18"/>
          <w:lang w:val="nl-NL"/>
        </w:rPr>
        <w:t xml:space="preserve">handelsbeleid. Het kabinet steunt </w:t>
      </w:r>
      <w:r w:rsidRPr="004A7116" w:rsidR="00B86C4D">
        <w:rPr>
          <w:rFonts w:eastAsiaTheme="minorEastAsia"/>
          <w:szCs w:val="18"/>
          <w:lang w:val="nl-NL"/>
        </w:rPr>
        <w:t>de</w:t>
      </w:r>
      <w:r w:rsidRPr="004A7116" w:rsidR="005E76B6">
        <w:rPr>
          <w:rFonts w:eastAsiaTheme="minorEastAsia"/>
          <w:szCs w:val="18"/>
          <w:lang w:val="nl-NL"/>
        </w:rPr>
        <w:t xml:space="preserve"> </w:t>
      </w:r>
      <w:r w:rsidRPr="004A7116" w:rsidR="00403787">
        <w:rPr>
          <w:rFonts w:eastAsiaTheme="minorEastAsia"/>
          <w:szCs w:val="18"/>
          <w:lang w:val="nl-NL"/>
        </w:rPr>
        <w:t>Europese C</w:t>
      </w:r>
      <w:r w:rsidRPr="004A7116" w:rsidR="005E76B6">
        <w:rPr>
          <w:rFonts w:eastAsiaTheme="minorEastAsia"/>
          <w:szCs w:val="18"/>
          <w:lang w:val="nl-NL"/>
        </w:rPr>
        <w:t xml:space="preserve">ommissie daarom bij </w:t>
      </w:r>
      <w:r w:rsidRPr="004A7116" w:rsidR="00B86C4D">
        <w:rPr>
          <w:rFonts w:eastAsiaTheme="minorEastAsia"/>
          <w:szCs w:val="18"/>
          <w:lang w:val="nl-NL"/>
        </w:rPr>
        <w:t>de</w:t>
      </w:r>
      <w:r w:rsidRPr="004A7116" w:rsidR="00106D20">
        <w:rPr>
          <w:rFonts w:eastAsiaTheme="minorEastAsia"/>
          <w:szCs w:val="18"/>
          <w:lang w:val="nl-NL"/>
        </w:rPr>
        <w:t>ze</w:t>
      </w:r>
      <w:r w:rsidRPr="004A7116" w:rsidR="005E76B6">
        <w:rPr>
          <w:rFonts w:eastAsiaTheme="minorEastAsia"/>
          <w:szCs w:val="18"/>
          <w:lang w:val="nl-NL"/>
        </w:rPr>
        <w:t xml:space="preserve"> inzet van het IPI</w:t>
      </w:r>
      <w:r w:rsidRPr="004A7116" w:rsidR="00D168A3">
        <w:rPr>
          <w:rFonts w:eastAsiaTheme="minorEastAsia"/>
          <w:szCs w:val="18"/>
          <w:lang w:val="nl-NL"/>
        </w:rPr>
        <w:t xml:space="preserve">. </w:t>
      </w:r>
    </w:p>
    <w:p w:rsidRPr="004A7116" w:rsidR="001F4A5B" w:rsidP="004A7116" w:rsidRDefault="001F4A5B" w14:paraId="2E73BEC0" w14:textId="77777777">
      <w:pPr>
        <w:spacing w:after="0" w:line="240" w:lineRule="exact"/>
        <w:rPr>
          <w:rFonts w:eastAsiaTheme="minorEastAsia"/>
          <w:szCs w:val="18"/>
          <w:lang w:val="nl-NL"/>
        </w:rPr>
      </w:pPr>
    </w:p>
    <w:p w:rsidRPr="004A7116" w:rsidR="00B423AD" w:rsidP="004A7116" w:rsidRDefault="00B423AD" w14:paraId="61A73D79" w14:textId="77777777">
      <w:pPr>
        <w:spacing w:after="0" w:line="240" w:lineRule="exact"/>
        <w:rPr>
          <w:rFonts w:eastAsiaTheme="minorEastAsia"/>
          <w:szCs w:val="18"/>
          <w:lang w:val="nl-NL"/>
        </w:rPr>
      </w:pPr>
    </w:p>
    <w:p w:rsidRPr="0023459C" w:rsidR="00275E82" w:rsidP="004A7116" w:rsidRDefault="003E3D7E" w14:paraId="13C93BB3" w14:textId="72C0DFDB">
      <w:pPr>
        <w:autoSpaceDE w:val="0"/>
        <w:autoSpaceDN w:val="0"/>
        <w:adjustRightInd w:val="0"/>
        <w:spacing w:after="0" w:line="240" w:lineRule="exact"/>
        <w:rPr>
          <w:rFonts w:eastAsiaTheme="minorEastAsia"/>
          <w:b/>
          <w:bCs/>
          <w:color w:val="FF0000"/>
          <w:szCs w:val="18"/>
          <w:lang w:val="nl-NL"/>
        </w:rPr>
      </w:pPr>
      <w:r w:rsidRPr="0023459C">
        <w:rPr>
          <w:rFonts w:eastAsiaTheme="minorEastAsia"/>
          <w:b/>
          <w:bCs/>
          <w:szCs w:val="18"/>
          <w:lang w:val="nl-NL"/>
        </w:rPr>
        <w:lastRenderedPageBreak/>
        <w:t xml:space="preserve">Uitkomst Raadspositie Omnibus I voorstel (CSDDD onderdeel) </w:t>
      </w:r>
    </w:p>
    <w:p w:rsidRPr="004A7116" w:rsidR="003E3D7E" w:rsidP="004A7116" w:rsidRDefault="00467ACB" w14:paraId="4B551F37" w14:textId="107B2877">
      <w:pPr>
        <w:spacing w:after="0" w:line="240" w:lineRule="exact"/>
        <w:rPr>
          <w:rFonts w:eastAsiaTheme="minorEastAsia"/>
          <w:szCs w:val="18"/>
          <w:lang w:val="nl-NL"/>
        </w:rPr>
      </w:pPr>
      <w:r>
        <w:rPr>
          <w:rFonts w:eastAsiaTheme="minorEastAsia"/>
          <w:szCs w:val="18"/>
          <w:lang w:val="nl-NL"/>
        </w:rPr>
        <w:t xml:space="preserve">In juni </w:t>
      </w:r>
      <w:r w:rsidR="00C80A4B">
        <w:rPr>
          <w:rFonts w:eastAsiaTheme="minorEastAsia"/>
          <w:szCs w:val="18"/>
          <w:lang w:val="nl-NL"/>
        </w:rPr>
        <w:t>jl.</w:t>
      </w:r>
      <w:r w:rsidRPr="004A7116" w:rsidDel="00467ACB" w:rsidR="00CC4906">
        <w:rPr>
          <w:rFonts w:eastAsiaTheme="minorEastAsia"/>
          <w:szCs w:val="18"/>
          <w:lang w:val="nl-NL"/>
        </w:rPr>
        <w:t xml:space="preserve"> </w:t>
      </w:r>
      <w:r w:rsidRPr="004A7116" w:rsidR="00CC4906">
        <w:rPr>
          <w:rFonts w:eastAsiaTheme="minorEastAsia"/>
          <w:szCs w:val="18"/>
          <w:lang w:val="nl-NL"/>
        </w:rPr>
        <w:t xml:space="preserve">zijn de onderhandelingen over </w:t>
      </w:r>
      <w:r w:rsidRPr="004A7116" w:rsidR="003E3D7E">
        <w:rPr>
          <w:rFonts w:eastAsiaTheme="minorEastAsia"/>
          <w:szCs w:val="18"/>
          <w:lang w:val="nl-NL"/>
        </w:rPr>
        <w:t xml:space="preserve">het Omnibus I </w:t>
      </w:r>
      <w:r w:rsidRPr="004A7116" w:rsidR="00CC4906">
        <w:rPr>
          <w:rFonts w:eastAsiaTheme="minorEastAsia"/>
          <w:szCs w:val="18"/>
          <w:lang w:val="nl-NL"/>
        </w:rPr>
        <w:t>pakket, waar</w:t>
      </w:r>
      <w:r w:rsidRPr="004A7116" w:rsidR="003E3D7E">
        <w:rPr>
          <w:rFonts w:eastAsiaTheme="minorEastAsia"/>
          <w:szCs w:val="18"/>
          <w:lang w:val="nl-NL"/>
        </w:rPr>
        <w:t xml:space="preserve"> de </w:t>
      </w:r>
      <w:r w:rsidRPr="004A7116" w:rsidR="003E3D7E">
        <w:rPr>
          <w:rFonts w:eastAsiaTheme="minorEastAsia"/>
          <w:i/>
          <w:iCs/>
          <w:szCs w:val="18"/>
          <w:lang w:val="nl-NL"/>
        </w:rPr>
        <w:t>Corporate Sustainability Due</w:t>
      </w:r>
      <w:r w:rsidRPr="004A7116" w:rsidR="003E3D7E">
        <w:rPr>
          <w:rFonts w:eastAsiaTheme="minorEastAsia"/>
          <w:szCs w:val="18"/>
          <w:lang w:val="nl-NL"/>
        </w:rPr>
        <w:t xml:space="preserve"> </w:t>
      </w:r>
      <w:r w:rsidRPr="004A7116" w:rsidR="003E3D7E">
        <w:rPr>
          <w:rFonts w:eastAsiaTheme="minorEastAsia"/>
          <w:i/>
          <w:iCs/>
          <w:szCs w:val="18"/>
          <w:lang w:val="nl-NL"/>
        </w:rPr>
        <w:t>Diligence Directive</w:t>
      </w:r>
      <w:r w:rsidRPr="004A7116" w:rsidR="003E3D7E">
        <w:rPr>
          <w:rFonts w:eastAsiaTheme="minorEastAsia"/>
          <w:szCs w:val="18"/>
          <w:lang w:val="nl-NL"/>
        </w:rPr>
        <w:t xml:space="preserve"> (</w:t>
      </w:r>
      <w:r w:rsidRPr="004A7116" w:rsidR="00CC4906">
        <w:rPr>
          <w:rFonts w:eastAsiaTheme="minorEastAsia"/>
          <w:szCs w:val="18"/>
          <w:lang w:val="nl-NL"/>
        </w:rPr>
        <w:t xml:space="preserve">CSDDDD) onderdeel van </w:t>
      </w:r>
      <w:r w:rsidRPr="004A7116" w:rsidR="003E3D7E">
        <w:rPr>
          <w:rFonts w:eastAsiaTheme="minorEastAsia"/>
          <w:szCs w:val="18"/>
          <w:lang w:val="nl-NL"/>
        </w:rPr>
        <w:t>is</w:t>
      </w:r>
      <w:r w:rsidRPr="004A7116" w:rsidR="00CC4906">
        <w:rPr>
          <w:rFonts w:eastAsiaTheme="minorEastAsia"/>
          <w:szCs w:val="18"/>
          <w:lang w:val="nl-NL"/>
        </w:rPr>
        <w:t>, versneld. U</w:t>
      </w:r>
      <w:r w:rsidRPr="004A7116" w:rsidR="004D0194">
        <w:rPr>
          <w:rFonts w:eastAsiaTheme="minorEastAsia"/>
          <w:szCs w:val="18"/>
          <w:lang w:val="nl-NL"/>
        </w:rPr>
        <w:t>w Kamer is</w:t>
      </w:r>
      <w:r w:rsidRPr="004A7116" w:rsidR="00CC4906">
        <w:rPr>
          <w:rFonts w:eastAsiaTheme="minorEastAsia"/>
          <w:szCs w:val="18"/>
          <w:lang w:val="nl-NL"/>
        </w:rPr>
        <w:t xml:space="preserve"> hierover op 23 juni nader geïnformeerd</w:t>
      </w:r>
      <w:r w:rsidR="00ED558B">
        <w:rPr>
          <w:rFonts w:eastAsiaTheme="minorEastAsia"/>
          <w:szCs w:val="18"/>
          <w:lang w:val="nl-NL"/>
        </w:rPr>
        <w:t>.</w:t>
      </w:r>
      <w:r w:rsidR="00A43D7E">
        <w:rPr>
          <w:rStyle w:val="FootnoteReference"/>
          <w:rFonts w:eastAsiaTheme="minorEastAsia"/>
          <w:szCs w:val="18"/>
          <w:lang w:val="nl-NL"/>
        </w:rPr>
        <w:footnoteReference w:id="3"/>
      </w:r>
      <w:r w:rsidRPr="004A7116" w:rsidR="00C5577F">
        <w:rPr>
          <w:rFonts w:eastAsiaTheme="minorEastAsia"/>
          <w:szCs w:val="18"/>
          <w:lang w:val="nl-NL"/>
        </w:rPr>
        <w:t xml:space="preserve"> </w:t>
      </w:r>
      <w:r w:rsidRPr="004A7116" w:rsidR="003E3D7E">
        <w:rPr>
          <w:rFonts w:eastAsiaTheme="minorEastAsia"/>
          <w:szCs w:val="18"/>
          <w:lang w:val="nl-NL"/>
        </w:rPr>
        <w:t xml:space="preserve">Op 23 juni jl. zijn </w:t>
      </w:r>
      <w:r w:rsidRPr="00331AA6" w:rsidR="003E3D7E">
        <w:rPr>
          <w:rFonts w:eastAsiaTheme="minorEastAsia"/>
          <w:szCs w:val="18"/>
          <w:lang w:val="nl-NL"/>
        </w:rPr>
        <w:t>de EU</w:t>
      </w:r>
      <w:r w:rsidRPr="00331AA6" w:rsidR="009C1714">
        <w:rPr>
          <w:rFonts w:eastAsiaTheme="minorEastAsia"/>
          <w:szCs w:val="18"/>
          <w:lang w:val="nl-NL"/>
        </w:rPr>
        <w:t>-</w:t>
      </w:r>
      <w:r w:rsidRPr="00331AA6" w:rsidR="003E3D7E">
        <w:rPr>
          <w:rFonts w:eastAsiaTheme="minorEastAsia"/>
          <w:szCs w:val="18"/>
          <w:lang w:val="nl-NL"/>
        </w:rPr>
        <w:t>lidstaten in het Comité van Permanente Vertegenwoordigers (Coreper) een Raadspositie overeengekomen.</w:t>
      </w:r>
      <w:r w:rsidRPr="00331AA6" w:rsidR="001F76D3">
        <w:rPr>
          <w:rStyle w:val="FootnoteReference"/>
          <w:rFonts w:eastAsiaTheme="minorEastAsia"/>
          <w:szCs w:val="18"/>
          <w:lang w:val="nl-NL"/>
        </w:rPr>
        <w:footnoteReference w:id="4"/>
      </w:r>
      <w:r w:rsidRPr="00331AA6" w:rsidR="00817907">
        <w:rPr>
          <w:rFonts w:eastAsiaTheme="minorEastAsia"/>
          <w:szCs w:val="18"/>
          <w:lang w:val="nl-NL"/>
        </w:rPr>
        <w:t xml:space="preserve"> </w:t>
      </w:r>
      <w:r w:rsidRPr="00331AA6" w:rsidR="005E7BBB">
        <w:rPr>
          <w:rFonts w:eastAsiaTheme="minorEastAsia"/>
          <w:szCs w:val="18"/>
          <w:lang w:val="nl-NL"/>
        </w:rPr>
        <w:t xml:space="preserve">Ondanks stevige Nederlandse inspanningen samen met andere lidstaten is de hieronder beschreven inzet op sommige punten niet of niet volledig behaald. </w:t>
      </w:r>
      <w:r w:rsidRPr="00331AA6" w:rsidR="00224D89">
        <w:rPr>
          <w:rFonts w:eastAsiaTheme="minorEastAsia"/>
          <w:szCs w:val="18"/>
          <w:lang w:val="nl-NL"/>
        </w:rPr>
        <w:t>In een verdeeld krachtenveld heeft het kabinet uiteindelijk ingestemd met het compromis</w:t>
      </w:r>
      <w:r w:rsidRPr="00331AA6" w:rsidR="005E7BBB">
        <w:rPr>
          <w:rFonts w:eastAsiaTheme="minorEastAsia"/>
          <w:szCs w:val="18"/>
          <w:lang w:val="nl-NL"/>
        </w:rPr>
        <w:t xml:space="preserve"> dat als inzet dient voor onderhandelingen met het Europees Parlement. Hierbij is de afweging gemaakt dat het blokkeren van dit compromis meer negatieve dan positieve gevolgen zou hebben. Regeldrukvermindering is een prioriteit van dit kabinet. Bedrijven zijn gebaat bij zo spoedig mogelijke afronding van de onderhandelingen en de duidelijkheid die dat oplevert</w:t>
      </w:r>
      <w:r w:rsidRPr="00331AA6" w:rsidR="00224D89">
        <w:rPr>
          <w:rFonts w:eastAsiaTheme="minorEastAsia"/>
          <w:szCs w:val="18"/>
          <w:lang w:val="nl-NL"/>
        </w:rPr>
        <w:t>.</w:t>
      </w:r>
      <w:r w:rsidR="00224D89">
        <w:rPr>
          <w:rFonts w:eastAsiaTheme="minorEastAsia"/>
          <w:szCs w:val="18"/>
          <w:lang w:val="nl-NL"/>
        </w:rPr>
        <w:t xml:space="preserve"> </w:t>
      </w:r>
      <w:r w:rsidRPr="005E7BBB" w:rsidR="00EE3861">
        <w:rPr>
          <w:rFonts w:eastAsiaTheme="minorEastAsia"/>
          <w:strike/>
          <w:szCs w:val="18"/>
          <w:lang w:val="nl-NL"/>
        </w:rPr>
        <w:t xml:space="preserve"> </w:t>
      </w:r>
    </w:p>
    <w:p w:rsidRPr="004A7116" w:rsidR="003E3D7E" w:rsidP="004A7116" w:rsidRDefault="003E3D7E" w14:paraId="34847E9B" w14:textId="54AF4F34">
      <w:pPr>
        <w:autoSpaceDE w:val="0"/>
        <w:autoSpaceDN w:val="0"/>
        <w:adjustRightInd w:val="0"/>
        <w:spacing w:after="0" w:line="240" w:lineRule="exact"/>
        <w:rPr>
          <w:i/>
          <w:iCs/>
          <w:szCs w:val="18"/>
          <w:lang w:val="nl-NL"/>
        </w:rPr>
      </w:pPr>
    </w:p>
    <w:p w:rsidRPr="00331AA6" w:rsidR="003E3D7E" w:rsidP="00331AA6" w:rsidRDefault="00EB76A3" w14:paraId="289EA40D" w14:textId="58572ACF">
      <w:pPr>
        <w:autoSpaceDE w:val="0"/>
        <w:autoSpaceDN w:val="0"/>
        <w:adjustRightInd w:val="0"/>
        <w:spacing w:after="0" w:line="240" w:lineRule="exact"/>
        <w:rPr>
          <w:szCs w:val="18"/>
          <w:u w:val="single"/>
          <w:lang w:val="nl-NL"/>
        </w:rPr>
      </w:pPr>
      <w:r>
        <w:rPr>
          <w:szCs w:val="18"/>
          <w:u w:val="single"/>
          <w:lang w:val="nl-NL"/>
        </w:rPr>
        <w:t>Raadspositie</w:t>
      </w:r>
    </w:p>
    <w:p w:rsidRPr="004A7116" w:rsidR="003E3D7E" w:rsidP="004A7116" w:rsidRDefault="00CC4906" w14:paraId="6908407D" w14:textId="0AA32941">
      <w:pPr>
        <w:spacing w:after="0" w:line="240" w:lineRule="exact"/>
        <w:rPr>
          <w:rFonts w:eastAsiaTheme="minorEastAsia"/>
          <w:szCs w:val="18"/>
          <w:lang w:val="nl-NL"/>
        </w:rPr>
      </w:pPr>
      <w:r w:rsidRPr="004A7116">
        <w:rPr>
          <w:rFonts w:eastAsiaTheme="minorEastAsia"/>
          <w:szCs w:val="18"/>
          <w:lang w:val="nl-NL"/>
        </w:rPr>
        <w:t xml:space="preserve">In </w:t>
      </w:r>
      <w:r w:rsidRPr="00331AA6">
        <w:rPr>
          <w:rFonts w:eastAsiaTheme="minorEastAsia"/>
          <w:szCs w:val="18"/>
          <w:lang w:val="nl-NL"/>
        </w:rPr>
        <w:t>het BNC</w:t>
      </w:r>
      <w:r w:rsidRPr="00331AA6" w:rsidR="00D532A6">
        <w:rPr>
          <w:rFonts w:eastAsiaTheme="minorEastAsia"/>
          <w:szCs w:val="18"/>
          <w:lang w:val="nl-NL"/>
        </w:rPr>
        <w:t>-</w:t>
      </w:r>
      <w:r w:rsidRPr="00331AA6">
        <w:rPr>
          <w:rFonts w:eastAsiaTheme="minorEastAsia"/>
          <w:szCs w:val="18"/>
          <w:lang w:val="nl-NL"/>
        </w:rPr>
        <w:t xml:space="preserve">fiche heeft het kabinet </w:t>
      </w:r>
      <w:r w:rsidRPr="00331AA6" w:rsidR="00AB68B7">
        <w:rPr>
          <w:rFonts w:eastAsiaTheme="minorEastAsia"/>
          <w:szCs w:val="18"/>
          <w:lang w:val="nl-NL"/>
        </w:rPr>
        <w:t xml:space="preserve">bij de beperking van gepaste zorgvuldigheid tot directe zakenrelaties </w:t>
      </w:r>
      <w:r w:rsidRPr="00331AA6">
        <w:rPr>
          <w:rFonts w:eastAsiaTheme="minorEastAsia"/>
          <w:szCs w:val="18"/>
          <w:lang w:val="nl-NL"/>
        </w:rPr>
        <w:t>aangegeven</w:t>
      </w:r>
      <w:r w:rsidRPr="004A7116">
        <w:rPr>
          <w:rFonts w:eastAsiaTheme="minorEastAsia"/>
          <w:szCs w:val="18"/>
          <w:lang w:val="nl-NL"/>
        </w:rPr>
        <w:t xml:space="preserve"> alternatieven voor te stellen die bijdragen aan regeldrukvermindering en de effectiviteit van het voorstel. Het kabinet heeft</w:t>
      </w:r>
      <w:r w:rsidRPr="004A7116" w:rsidR="003E3D7E">
        <w:rPr>
          <w:rFonts w:eastAsiaTheme="minorEastAsia"/>
          <w:szCs w:val="18"/>
          <w:lang w:val="nl-NL"/>
        </w:rPr>
        <w:t xml:space="preserve"> tijdens de onderhandelingen </w:t>
      </w:r>
      <w:r w:rsidRPr="004A7116">
        <w:rPr>
          <w:rFonts w:eastAsiaTheme="minorEastAsia"/>
          <w:szCs w:val="18"/>
          <w:lang w:val="nl-NL"/>
        </w:rPr>
        <w:t>daarom ingezet op</w:t>
      </w:r>
      <w:r w:rsidRPr="004A7116" w:rsidR="003E3D7E">
        <w:rPr>
          <w:rFonts w:eastAsiaTheme="minorEastAsia"/>
          <w:szCs w:val="18"/>
          <w:lang w:val="nl-NL"/>
        </w:rPr>
        <w:t xml:space="preserve"> een meer risicogerichte benadering</w:t>
      </w:r>
      <w:r w:rsidR="00AB68B7">
        <w:rPr>
          <w:rFonts w:eastAsiaTheme="minorEastAsia"/>
          <w:szCs w:val="18"/>
          <w:lang w:val="nl-NL"/>
        </w:rPr>
        <w:t>.</w:t>
      </w:r>
      <w:r w:rsidRPr="004A7116" w:rsidR="005E6AF0">
        <w:rPr>
          <w:rFonts w:eastAsiaTheme="minorEastAsia"/>
          <w:szCs w:val="18"/>
          <w:lang w:val="nl-NL"/>
        </w:rPr>
        <w:t xml:space="preserve"> </w:t>
      </w:r>
      <w:r w:rsidR="00AB68B7">
        <w:rPr>
          <w:rFonts w:eastAsiaTheme="minorEastAsia"/>
          <w:szCs w:val="18"/>
          <w:lang w:val="nl-NL"/>
        </w:rPr>
        <w:t>D</w:t>
      </w:r>
      <w:r w:rsidRPr="004A7116" w:rsidR="005E6AF0">
        <w:rPr>
          <w:rFonts w:eastAsiaTheme="minorEastAsia"/>
          <w:szCs w:val="18"/>
          <w:lang w:val="nl-NL"/>
        </w:rPr>
        <w:t>at</w:t>
      </w:r>
      <w:r w:rsidR="00AB68B7">
        <w:rPr>
          <w:rFonts w:eastAsiaTheme="minorEastAsia"/>
          <w:szCs w:val="18"/>
          <w:lang w:val="nl-NL"/>
        </w:rPr>
        <w:t xml:space="preserve"> sluit</w:t>
      </w:r>
      <w:r w:rsidRPr="004A7116" w:rsidR="005E6AF0">
        <w:rPr>
          <w:rFonts w:eastAsiaTheme="minorEastAsia"/>
          <w:szCs w:val="18"/>
          <w:lang w:val="nl-NL"/>
        </w:rPr>
        <w:t xml:space="preserve"> beter aan</w:t>
      </w:r>
      <w:r w:rsidRPr="004A7116" w:rsidR="003E3D7E">
        <w:rPr>
          <w:rFonts w:eastAsiaTheme="minorEastAsia"/>
          <w:szCs w:val="18"/>
          <w:lang w:val="nl-NL"/>
        </w:rPr>
        <w:t xml:space="preserve"> bij de internationale </w:t>
      </w:r>
      <w:r w:rsidRPr="00331AA6" w:rsidR="003E3D7E">
        <w:rPr>
          <w:rFonts w:eastAsiaTheme="minorEastAsia"/>
          <w:szCs w:val="18"/>
          <w:lang w:val="nl-NL"/>
        </w:rPr>
        <w:t>standaarden</w:t>
      </w:r>
      <w:r w:rsidRPr="00331AA6" w:rsidR="00AB68B7">
        <w:rPr>
          <w:rStyle w:val="FootnoteReference"/>
          <w:rFonts w:eastAsiaTheme="minorEastAsia"/>
          <w:szCs w:val="18"/>
          <w:lang w:val="nl-NL"/>
        </w:rPr>
        <w:footnoteReference w:id="5"/>
      </w:r>
      <w:r w:rsidRPr="00331AA6" w:rsidR="00C5577F">
        <w:rPr>
          <w:rFonts w:eastAsiaTheme="minorEastAsia"/>
          <w:szCs w:val="18"/>
          <w:lang w:val="nl-NL"/>
        </w:rPr>
        <w:t xml:space="preserve"> die een</w:t>
      </w:r>
      <w:r w:rsidRPr="004A7116" w:rsidR="00C5577F">
        <w:rPr>
          <w:rFonts w:eastAsiaTheme="minorEastAsia"/>
          <w:szCs w:val="18"/>
          <w:lang w:val="nl-NL"/>
        </w:rPr>
        <w:t xml:space="preserve"> deel van de bedrijven al toepast</w:t>
      </w:r>
      <w:r w:rsidRPr="004A7116" w:rsidR="00943B88">
        <w:rPr>
          <w:rFonts w:eastAsiaTheme="minorEastAsia"/>
          <w:szCs w:val="18"/>
          <w:lang w:val="nl-NL"/>
        </w:rPr>
        <w:t xml:space="preserve">. </w:t>
      </w:r>
      <w:r w:rsidRPr="004A7116" w:rsidR="00FA70BF">
        <w:rPr>
          <w:rFonts w:eastAsiaTheme="minorEastAsia"/>
          <w:szCs w:val="18"/>
          <w:lang w:val="nl-NL"/>
        </w:rPr>
        <w:t>De</w:t>
      </w:r>
      <w:r w:rsidRPr="004A7116" w:rsidR="003E3D7E">
        <w:rPr>
          <w:rFonts w:eastAsiaTheme="minorEastAsia"/>
          <w:szCs w:val="18"/>
          <w:lang w:val="nl-NL"/>
        </w:rPr>
        <w:t xml:space="preserve"> Raadspositie bevat geen volledig risicogerichte benadering, maar wel enkele verbeteringen op dit vlak. Bijvoorbeeld doordat de analyse van de directe en de indirecte zakenrelaties meer risicogericht is gemaakt</w:t>
      </w:r>
      <w:r w:rsidRPr="004A7116" w:rsidR="00FA70BF">
        <w:rPr>
          <w:rFonts w:eastAsiaTheme="minorEastAsia"/>
          <w:szCs w:val="18"/>
          <w:lang w:val="nl-NL"/>
        </w:rPr>
        <w:t xml:space="preserve"> en </w:t>
      </w:r>
      <w:r w:rsidRPr="004A7116" w:rsidR="00E03B6A">
        <w:rPr>
          <w:rFonts w:eastAsiaTheme="minorEastAsia"/>
          <w:szCs w:val="18"/>
          <w:lang w:val="nl-NL"/>
        </w:rPr>
        <w:t>bedrijven in de keten beter worden beschermd tegen onnodige informatie</w:t>
      </w:r>
      <w:r w:rsidR="00DB71FD">
        <w:rPr>
          <w:rFonts w:eastAsiaTheme="minorEastAsia"/>
          <w:szCs w:val="18"/>
          <w:lang w:val="nl-NL"/>
        </w:rPr>
        <w:t>-</w:t>
      </w:r>
      <w:r w:rsidRPr="004A7116" w:rsidR="00E03B6A">
        <w:rPr>
          <w:rFonts w:eastAsiaTheme="minorEastAsia"/>
          <w:szCs w:val="18"/>
          <w:lang w:val="nl-NL"/>
        </w:rPr>
        <w:t>uitvragen</w:t>
      </w:r>
      <w:r w:rsidRPr="004A7116" w:rsidR="003E3D7E">
        <w:rPr>
          <w:rFonts w:eastAsiaTheme="minorEastAsia"/>
          <w:szCs w:val="18"/>
          <w:lang w:val="nl-NL"/>
        </w:rPr>
        <w:t xml:space="preserve">. </w:t>
      </w:r>
    </w:p>
    <w:p w:rsidRPr="004A7116" w:rsidR="003E3D7E" w:rsidP="004A7116" w:rsidRDefault="003E3D7E" w14:paraId="7C9EFD55" w14:textId="77777777">
      <w:pPr>
        <w:autoSpaceDE w:val="0"/>
        <w:autoSpaceDN w:val="0"/>
        <w:adjustRightInd w:val="0"/>
        <w:spacing w:after="0" w:line="240" w:lineRule="exact"/>
        <w:rPr>
          <w:szCs w:val="18"/>
          <w:lang w:val="nl-NL"/>
        </w:rPr>
      </w:pPr>
    </w:p>
    <w:p w:rsidRPr="004A7116" w:rsidR="003E3D7E" w:rsidP="004A7116" w:rsidRDefault="003E3D7E" w14:paraId="5638881F" w14:textId="3D7B2596">
      <w:pPr>
        <w:spacing w:after="0" w:line="240" w:lineRule="exact"/>
        <w:rPr>
          <w:rFonts w:eastAsiaTheme="minorEastAsia"/>
          <w:szCs w:val="18"/>
          <w:lang w:val="nl-NL"/>
        </w:rPr>
      </w:pPr>
      <w:r w:rsidRPr="004A7116">
        <w:rPr>
          <w:rFonts w:eastAsiaTheme="minorEastAsia"/>
          <w:szCs w:val="18"/>
          <w:lang w:val="nl-NL"/>
        </w:rPr>
        <w:t xml:space="preserve">In de </w:t>
      </w:r>
      <w:r w:rsidRPr="00331AA6">
        <w:rPr>
          <w:rFonts w:eastAsiaTheme="minorEastAsia"/>
          <w:szCs w:val="18"/>
          <w:lang w:val="nl-NL"/>
        </w:rPr>
        <w:t>Raadspositie</w:t>
      </w:r>
      <w:r w:rsidRPr="00331AA6" w:rsidR="00331AA6">
        <w:rPr>
          <w:rFonts w:eastAsiaTheme="minorEastAsia"/>
          <w:szCs w:val="18"/>
          <w:lang w:val="nl-NL"/>
        </w:rPr>
        <w:t xml:space="preserve"> </w:t>
      </w:r>
      <w:r w:rsidRPr="00331AA6" w:rsidR="00AB68B7">
        <w:rPr>
          <w:rFonts w:eastAsiaTheme="minorEastAsia"/>
          <w:szCs w:val="18"/>
          <w:lang w:val="nl-NL"/>
        </w:rPr>
        <w:t>staat</w:t>
      </w:r>
      <w:r w:rsidRPr="00331AA6">
        <w:rPr>
          <w:rFonts w:eastAsiaTheme="minorEastAsia"/>
          <w:szCs w:val="18"/>
          <w:lang w:val="nl-NL"/>
        </w:rPr>
        <w:t xml:space="preserve"> dat </w:t>
      </w:r>
      <w:r w:rsidRPr="00331AA6" w:rsidR="00D532A6">
        <w:rPr>
          <w:rFonts w:eastAsiaTheme="minorEastAsia"/>
          <w:szCs w:val="18"/>
          <w:lang w:val="nl-NL"/>
        </w:rPr>
        <w:t>de klimaatverplichtingen</w:t>
      </w:r>
      <w:r w:rsidRPr="004A7116" w:rsidR="00CC4906">
        <w:rPr>
          <w:rFonts w:eastAsiaTheme="minorEastAsia"/>
          <w:szCs w:val="18"/>
          <w:lang w:val="nl-NL"/>
        </w:rPr>
        <w:t xml:space="preserve"> zich</w:t>
      </w:r>
      <w:r w:rsidRPr="004A7116">
        <w:rPr>
          <w:rFonts w:eastAsiaTheme="minorEastAsia"/>
          <w:szCs w:val="18"/>
          <w:lang w:val="nl-NL"/>
        </w:rPr>
        <w:t xml:space="preserve"> beperk</w:t>
      </w:r>
      <w:r w:rsidRPr="004A7116" w:rsidR="00D532A6">
        <w:rPr>
          <w:rFonts w:eastAsiaTheme="minorEastAsia"/>
          <w:szCs w:val="18"/>
          <w:lang w:val="nl-NL"/>
        </w:rPr>
        <w:t>en</w:t>
      </w:r>
      <w:r w:rsidRPr="004A7116">
        <w:rPr>
          <w:rFonts w:eastAsiaTheme="minorEastAsia"/>
          <w:szCs w:val="18"/>
          <w:lang w:val="nl-NL"/>
        </w:rPr>
        <w:t xml:space="preserve"> tot het vaststellen van een klimaattransitieplan. Hieraan is toegevoegd dat de toezichthouder uitsluitend toezicht houdt op de vaststelling</w:t>
      </w:r>
      <w:r w:rsidR="00B36380">
        <w:rPr>
          <w:rFonts w:eastAsiaTheme="minorEastAsia"/>
          <w:szCs w:val="18"/>
          <w:lang w:val="nl-NL"/>
        </w:rPr>
        <w:t>,</w:t>
      </w:r>
      <w:r w:rsidRPr="004A7116">
        <w:rPr>
          <w:rFonts w:eastAsiaTheme="minorEastAsia"/>
          <w:szCs w:val="18"/>
          <w:lang w:val="nl-NL"/>
        </w:rPr>
        <w:t xml:space="preserve"> en ondernemingen kan adviseren over het ontwerp en implementatie. Er waren lidstaten die d</w:t>
      </w:r>
      <w:r w:rsidRPr="00331AA6" w:rsidR="00331AA6">
        <w:rPr>
          <w:rFonts w:eastAsiaTheme="minorEastAsia"/>
          <w:szCs w:val="18"/>
          <w:lang w:val="nl-NL"/>
        </w:rPr>
        <w:t>e</w:t>
      </w:r>
      <w:r w:rsidRPr="00331AA6">
        <w:rPr>
          <w:rFonts w:eastAsiaTheme="minorEastAsia"/>
          <w:szCs w:val="18"/>
          <w:lang w:val="nl-NL"/>
        </w:rPr>
        <w:t xml:space="preserve"> </w:t>
      </w:r>
      <w:r w:rsidRPr="00331AA6" w:rsidR="00B36380">
        <w:rPr>
          <w:rFonts w:eastAsiaTheme="minorEastAsia"/>
          <w:szCs w:val="18"/>
          <w:lang w:val="nl-NL"/>
        </w:rPr>
        <w:t>klimaat</w:t>
      </w:r>
      <w:r w:rsidRPr="00331AA6">
        <w:rPr>
          <w:rFonts w:eastAsiaTheme="minorEastAsia"/>
          <w:szCs w:val="18"/>
          <w:lang w:val="nl-NL"/>
        </w:rPr>
        <w:t>verplichting</w:t>
      </w:r>
      <w:r w:rsidRPr="004A7116">
        <w:rPr>
          <w:rFonts w:eastAsiaTheme="minorEastAsia"/>
          <w:szCs w:val="18"/>
          <w:lang w:val="nl-NL"/>
        </w:rPr>
        <w:t xml:space="preserve"> volledig wilden schrappen. Anderzijds waren er lidstaten die het compromis van het voorzitterschap niet ver genoeg vonden gaan om de klimaatdoelen te bereiken. Voor Nederland was het van belang dat </w:t>
      </w:r>
      <w:r w:rsidR="00224D89">
        <w:rPr>
          <w:rFonts w:eastAsiaTheme="minorEastAsia"/>
          <w:szCs w:val="18"/>
          <w:lang w:val="nl-NL"/>
        </w:rPr>
        <w:t xml:space="preserve">de </w:t>
      </w:r>
      <w:r w:rsidRPr="004A7116">
        <w:rPr>
          <w:rFonts w:eastAsiaTheme="minorEastAsia"/>
          <w:szCs w:val="18"/>
          <w:lang w:val="nl-NL"/>
        </w:rPr>
        <w:t>verplichting voor een klimaattransitieplan niet geschrapt werd.</w:t>
      </w:r>
    </w:p>
    <w:p w:rsidRPr="004A7116" w:rsidR="003E3D7E" w:rsidP="004A7116" w:rsidRDefault="003E3D7E" w14:paraId="51CAEE4B" w14:textId="77777777">
      <w:pPr>
        <w:autoSpaceDE w:val="0"/>
        <w:autoSpaceDN w:val="0"/>
        <w:adjustRightInd w:val="0"/>
        <w:spacing w:after="0" w:line="240" w:lineRule="exact"/>
        <w:rPr>
          <w:szCs w:val="18"/>
          <w:lang w:val="nl-NL"/>
        </w:rPr>
      </w:pPr>
    </w:p>
    <w:p w:rsidRPr="004A7116" w:rsidR="003E3D7E" w:rsidP="004A7116" w:rsidRDefault="00B36380" w14:paraId="238FE7CB" w14:textId="2C4378F1">
      <w:pPr>
        <w:spacing w:after="0" w:line="240" w:lineRule="exact"/>
        <w:rPr>
          <w:rFonts w:eastAsiaTheme="minorEastAsia"/>
          <w:szCs w:val="18"/>
          <w:lang w:val="nl-NL"/>
        </w:rPr>
      </w:pPr>
      <w:r w:rsidRPr="00331AA6">
        <w:rPr>
          <w:rFonts w:eastAsiaTheme="minorEastAsia"/>
          <w:szCs w:val="18"/>
          <w:lang w:val="nl-NL"/>
        </w:rPr>
        <w:t xml:space="preserve">De Raadspositie heeft de </w:t>
      </w:r>
      <w:r w:rsidRPr="00331AA6" w:rsidR="003E3D7E">
        <w:rPr>
          <w:rFonts w:eastAsiaTheme="minorEastAsia"/>
          <w:szCs w:val="18"/>
          <w:lang w:val="nl-NL"/>
        </w:rPr>
        <w:t>uitbreiding van de bepalingen over maximumharmonisatie</w:t>
      </w:r>
      <w:r w:rsidRPr="00331AA6" w:rsidR="00331AA6">
        <w:rPr>
          <w:rFonts w:eastAsiaTheme="minorEastAsia"/>
          <w:szCs w:val="18"/>
          <w:lang w:val="nl-NL"/>
        </w:rPr>
        <w:t xml:space="preserve"> </w:t>
      </w:r>
      <w:r w:rsidRPr="00331AA6">
        <w:rPr>
          <w:rFonts w:eastAsiaTheme="minorEastAsia"/>
          <w:szCs w:val="18"/>
          <w:lang w:val="nl-NL"/>
        </w:rPr>
        <w:t xml:space="preserve">overgenomen van het Commissievoorstel. Het kabinet steunt deze uitbreiding. Het </w:t>
      </w:r>
      <w:r w:rsidRPr="00331AA6" w:rsidR="003E3D7E">
        <w:rPr>
          <w:rFonts w:eastAsiaTheme="minorEastAsia"/>
          <w:szCs w:val="18"/>
          <w:lang w:val="nl-NL"/>
        </w:rPr>
        <w:t>blijft</w:t>
      </w:r>
      <w:r w:rsidRPr="00331AA6">
        <w:rPr>
          <w:rFonts w:eastAsiaTheme="minorEastAsia"/>
          <w:szCs w:val="18"/>
          <w:lang w:val="nl-NL"/>
        </w:rPr>
        <w:t xml:space="preserve"> wel</w:t>
      </w:r>
      <w:r w:rsidRPr="00331AA6" w:rsidR="003E3D7E">
        <w:rPr>
          <w:rFonts w:eastAsiaTheme="minorEastAsia"/>
          <w:szCs w:val="18"/>
          <w:lang w:val="nl-NL"/>
        </w:rPr>
        <w:t xml:space="preserve"> mogelijk voor lidstaten om strengere verplichtingen in te stellen ten aanzien van bescherming van de mensenrechten, arbeids- en sociale rechten, het milieu of het klimaat</w:t>
      </w:r>
      <w:r w:rsidRPr="004A7116" w:rsidR="003E3D7E">
        <w:rPr>
          <w:rFonts w:eastAsiaTheme="minorEastAsia"/>
          <w:szCs w:val="18"/>
          <w:lang w:val="nl-NL"/>
        </w:rPr>
        <w:t xml:space="preserve">. </w:t>
      </w:r>
    </w:p>
    <w:p w:rsidRPr="004A7116" w:rsidR="003E3D7E" w:rsidP="004A7116" w:rsidRDefault="003E3D7E" w14:paraId="62BC22A6" w14:textId="77777777">
      <w:pPr>
        <w:spacing w:after="0" w:line="240" w:lineRule="exact"/>
        <w:rPr>
          <w:rFonts w:eastAsiaTheme="minorEastAsia"/>
          <w:szCs w:val="18"/>
          <w:lang w:val="nl-NL"/>
        </w:rPr>
      </w:pPr>
    </w:p>
    <w:p w:rsidRPr="004A7116" w:rsidR="003E3D7E" w:rsidP="004A7116" w:rsidRDefault="00B36380" w14:paraId="77FF18D0" w14:textId="3383819B">
      <w:pPr>
        <w:spacing w:after="0" w:line="240" w:lineRule="exact"/>
        <w:rPr>
          <w:rFonts w:eastAsiaTheme="minorEastAsia"/>
          <w:szCs w:val="18"/>
          <w:lang w:val="nl-NL"/>
        </w:rPr>
      </w:pPr>
      <w:r w:rsidRPr="00331AA6">
        <w:rPr>
          <w:rFonts w:eastAsiaTheme="minorEastAsia"/>
          <w:szCs w:val="18"/>
          <w:lang w:val="nl-NL"/>
        </w:rPr>
        <w:t>D</w:t>
      </w:r>
      <w:r w:rsidRPr="00331AA6" w:rsidR="003E3D7E">
        <w:rPr>
          <w:rFonts w:eastAsiaTheme="minorEastAsia"/>
          <w:szCs w:val="18"/>
          <w:lang w:val="nl-NL"/>
        </w:rPr>
        <w:t xml:space="preserve">e Raadspositie </w:t>
      </w:r>
      <w:r w:rsidRPr="00331AA6">
        <w:rPr>
          <w:rFonts w:eastAsiaTheme="minorEastAsia"/>
          <w:szCs w:val="18"/>
          <w:lang w:val="nl-NL"/>
        </w:rPr>
        <w:t>heeft in lijn met de Nederlandse positie de geharmoniseerde bepalingen over boetehoogte teruggebracht.</w:t>
      </w:r>
      <w:r w:rsidRPr="00331AA6" w:rsidR="003E3D7E">
        <w:rPr>
          <w:rFonts w:eastAsiaTheme="minorEastAsia"/>
          <w:szCs w:val="18"/>
          <w:lang w:val="nl-NL"/>
        </w:rPr>
        <w:t xml:space="preserve"> </w:t>
      </w:r>
      <w:r w:rsidRPr="00331AA6">
        <w:rPr>
          <w:rFonts w:eastAsiaTheme="minorEastAsia"/>
          <w:szCs w:val="18"/>
          <w:lang w:val="nl-NL"/>
        </w:rPr>
        <w:t xml:space="preserve">Dit </w:t>
      </w:r>
      <w:r w:rsidRPr="00331AA6" w:rsidR="003E3D7E">
        <w:rPr>
          <w:rFonts w:eastAsiaTheme="minorEastAsia"/>
          <w:szCs w:val="18"/>
          <w:lang w:val="nl-NL"/>
        </w:rPr>
        <w:t>draagt</w:t>
      </w:r>
      <w:r w:rsidRPr="004A7116" w:rsidR="003E3D7E">
        <w:rPr>
          <w:rFonts w:eastAsiaTheme="minorEastAsia"/>
          <w:szCs w:val="18"/>
          <w:lang w:val="nl-NL"/>
        </w:rPr>
        <w:t xml:space="preserve"> bij aan het gelijke speelveld. Ook de richtsnoeren die de Commissie in samenwerking met de lidstaten hierover zal opstellen dragen bij aan uniforme handhaving tussen lidstaten.</w:t>
      </w:r>
      <w:r>
        <w:rPr>
          <w:rFonts w:eastAsiaTheme="minorEastAsia"/>
          <w:szCs w:val="18"/>
          <w:lang w:val="nl-NL"/>
        </w:rPr>
        <w:t xml:space="preserve"> </w:t>
      </w:r>
      <w:r w:rsidRPr="004A7116" w:rsidR="003E3D7E">
        <w:rPr>
          <w:rFonts w:eastAsiaTheme="minorEastAsia"/>
          <w:szCs w:val="18"/>
          <w:lang w:val="nl-NL"/>
        </w:rPr>
        <w:t xml:space="preserve">De </w:t>
      </w:r>
      <w:r w:rsidRPr="004A7116" w:rsidR="00FC23F4">
        <w:rPr>
          <w:rFonts w:eastAsiaTheme="minorEastAsia"/>
          <w:szCs w:val="18"/>
          <w:lang w:val="nl-NL"/>
        </w:rPr>
        <w:t xml:space="preserve">in het Commissievoorstel geschrapte </w:t>
      </w:r>
      <w:r w:rsidRPr="004A7116" w:rsidR="003E3D7E">
        <w:rPr>
          <w:rFonts w:eastAsiaTheme="minorEastAsia"/>
          <w:szCs w:val="18"/>
          <w:lang w:val="nl-NL"/>
        </w:rPr>
        <w:t xml:space="preserve">geharmoniseerde bepalingen over civiele aansprakelijkheid zijn in de Raadspositie </w:t>
      </w:r>
      <w:r w:rsidRPr="004A7116" w:rsidR="00FC23F4">
        <w:rPr>
          <w:rFonts w:eastAsiaTheme="minorEastAsia"/>
          <w:szCs w:val="18"/>
          <w:lang w:val="nl-NL"/>
        </w:rPr>
        <w:t>niet teruggebracht</w:t>
      </w:r>
      <w:r w:rsidRPr="004A7116" w:rsidR="003E3D7E">
        <w:rPr>
          <w:rFonts w:eastAsiaTheme="minorEastAsia"/>
          <w:szCs w:val="18"/>
          <w:lang w:val="nl-NL"/>
        </w:rPr>
        <w:t xml:space="preserve">. Het kabinet heeft </w:t>
      </w:r>
      <w:r w:rsidR="007C00F8">
        <w:rPr>
          <w:rFonts w:eastAsiaTheme="minorEastAsia"/>
          <w:szCs w:val="18"/>
          <w:lang w:val="nl-NL"/>
        </w:rPr>
        <w:t xml:space="preserve">hier </w:t>
      </w:r>
      <w:r w:rsidRPr="004A7116" w:rsidR="003E3D7E">
        <w:rPr>
          <w:rFonts w:eastAsiaTheme="minorEastAsia"/>
          <w:szCs w:val="18"/>
          <w:lang w:val="nl-NL"/>
        </w:rPr>
        <w:t xml:space="preserve">tijdens de onderhandelingen juist </w:t>
      </w:r>
      <w:r w:rsidR="007C00F8">
        <w:rPr>
          <w:rFonts w:eastAsiaTheme="minorEastAsia"/>
          <w:szCs w:val="18"/>
          <w:lang w:val="nl-NL"/>
        </w:rPr>
        <w:t xml:space="preserve">op </w:t>
      </w:r>
      <w:r w:rsidRPr="004A7116" w:rsidR="003E3D7E">
        <w:rPr>
          <w:rFonts w:eastAsiaTheme="minorEastAsia"/>
          <w:szCs w:val="18"/>
          <w:lang w:val="nl-NL"/>
        </w:rPr>
        <w:t>ingezet om fragmentatie te v</w:t>
      </w:r>
      <w:r w:rsidR="007C00F8">
        <w:rPr>
          <w:rFonts w:eastAsiaTheme="minorEastAsia"/>
          <w:szCs w:val="18"/>
          <w:lang w:val="nl-NL"/>
        </w:rPr>
        <w:t>oorkomen</w:t>
      </w:r>
      <w:r w:rsidRPr="004A7116" w:rsidR="003E3D7E">
        <w:rPr>
          <w:rFonts w:eastAsiaTheme="minorEastAsia"/>
          <w:szCs w:val="18"/>
          <w:lang w:val="nl-NL"/>
        </w:rPr>
        <w:t xml:space="preserve">. Daarvoor bleek </w:t>
      </w:r>
      <w:r w:rsidR="007C00F8">
        <w:rPr>
          <w:rFonts w:eastAsiaTheme="minorEastAsia"/>
          <w:szCs w:val="18"/>
          <w:lang w:val="nl-NL"/>
        </w:rPr>
        <w:t>on</w:t>
      </w:r>
      <w:r w:rsidRPr="004A7116" w:rsidR="003E3D7E">
        <w:rPr>
          <w:rFonts w:eastAsiaTheme="minorEastAsia"/>
          <w:szCs w:val="18"/>
          <w:lang w:val="nl-NL"/>
        </w:rPr>
        <w:t xml:space="preserve">voldoende draagvlak. </w:t>
      </w:r>
    </w:p>
    <w:p w:rsidRPr="004A7116" w:rsidR="003E3D7E" w:rsidP="004A7116" w:rsidRDefault="003E3D7E" w14:paraId="1067D887" w14:textId="77777777">
      <w:pPr>
        <w:spacing w:after="0" w:line="240" w:lineRule="exact"/>
        <w:rPr>
          <w:rFonts w:eastAsiaTheme="minorEastAsia"/>
          <w:szCs w:val="18"/>
          <w:lang w:val="nl-NL"/>
        </w:rPr>
      </w:pPr>
    </w:p>
    <w:p w:rsidRPr="004A7116" w:rsidR="00465494" w:rsidP="004A7116" w:rsidRDefault="00EC37FF" w14:paraId="747C309D" w14:textId="47C60763">
      <w:pPr>
        <w:spacing w:after="0" w:line="240" w:lineRule="exact"/>
        <w:rPr>
          <w:szCs w:val="18"/>
          <w:lang w:val="nl-NL"/>
        </w:rPr>
      </w:pPr>
      <w:r w:rsidRPr="004A7116">
        <w:rPr>
          <w:rFonts w:eastAsiaTheme="minorEastAsia"/>
          <w:szCs w:val="18"/>
          <w:lang w:val="nl-NL"/>
        </w:rPr>
        <w:t xml:space="preserve">De overige punten uit het Commissievoorstel, genoemd in het BNC-fiche, zijn in grote lijnen overgenomen in de Raadspositie. Wel introduceert de Raadspositie twee nieuwe </w:t>
      </w:r>
      <w:r w:rsidR="00224D89">
        <w:rPr>
          <w:rFonts w:eastAsiaTheme="minorEastAsia"/>
          <w:szCs w:val="18"/>
          <w:lang w:val="nl-NL"/>
        </w:rPr>
        <w:t>aanpassingen</w:t>
      </w:r>
      <w:r w:rsidRPr="004A7116">
        <w:rPr>
          <w:rFonts w:eastAsiaTheme="minorEastAsia"/>
          <w:szCs w:val="18"/>
          <w:lang w:val="nl-NL"/>
        </w:rPr>
        <w:t>. Ten aanzien van</w:t>
      </w:r>
      <w:r w:rsidRPr="004A7116">
        <w:rPr>
          <w:szCs w:val="18"/>
          <w:lang w:val="nl-NL"/>
        </w:rPr>
        <w:t xml:space="preserve"> </w:t>
      </w:r>
      <w:r w:rsidRPr="004A7116" w:rsidR="006F09E1">
        <w:rPr>
          <w:szCs w:val="18"/>
          <w:lang w:val="nl-NL"/>
        </w:rPr>
        <w:t>de</w:t>
      </w:r>
      <w:r w:rsidRPr="004A7116" w:rsidR="00465494">
        <w:rPr>
          <w:szCs w:val="18"/>
          <w:lang w:val="nl-NL"/>
        </w:rPr>
        <w:t xml:space="preserve"> reikwijdte is de drempelwaarde voor bedrijven om onder de verplichtingen te vallen verhoogd van 1.000 naar 5.000 medewerkers en van EUR 450 miljoen naar EUR 1,5 miljard</w:t>
      </w:r>
      <w:r w:rsidR="00B36380">
        <w:rPr>
          <w:szCs w:val="18"/>
          <w:lang w:val="nl-NL"/>
        </w:rPr>
        <w:t xml:space="preserve"> </w:t>
      </w:r>
      <w:r w:rsidRPr="00331AA6" w:rsidR="00B36380">
        <w:rPr>
          <w:szCs w:val="18"/>
          <w:lang w:val="nl-NL"/>
        </w:rPr>
        <w:t>jaaromzet</w:t>
      </w:r>
      <w:r w:rsidRPr="00331AA6" w:rsidR="00465494">
        <w:rPr>
          <w:szCs w:val="18"/>
          <w:lang w:val="nl-NL"/>
        </w:rPr>
        <w:t>. Het kabinet</w:t>
      </w:r>
      <w:r w:rsidRPr="00331AA6" w:rsidR="00331AA6">
        <w:rPr>
          <w:szCs w:val="18"/>
          <w:lang w:val="nl-NL"/>
        </w:rPr>
        <w:t xml:space="preserve"> </w:t>
      </w:r>
      <w:r w:rsidRPr="00331AA6" w:rsidR="00B36380">
        <w:rPr>
          <w:szCs w:val="18"/>
          <w:lang w:val="nl-NL"/>
        </w:rPr>
        <w:t xml:space="preserve">heeft </w:t>
      </w:r>
      <w:r w:rsidRPr="00331AA6" w:rsidR="00465494">
        <w:rPr>
          <w:szCs w:val="18"/>
          <w:lang w:val="nl-NL"/>
        </w:rPr>
        <w:t>tot op het laatste moment</w:t>
      </w:r>
      <w:r w:rsidRPr="00331AA6" w:rsidR="00B36380">
        <w:rPr>
          <w:szCs w:val="18"/>
          <w:lang w:val="nl-NL"/>
        </w:rPr>
        <w:t xml:space="preserve"> ingezet op behoud van de reikwijdte van het Commissievoorstel,</w:t>
      </w:r>
      <w:r w:rsidRPr="00331AA6" w:rsidR="00465494">
        <w:rPr>
          <w:szCs w:val="18"/>
          <w:lang w:val="nl-NL"/>
        </w:rPr>
        <w:t xml:space="preserve"> conform </w:t>
      </w:r>
      <w:r w:rsidRPr="00331AA6" w:rsidR="00B36380">
        <w:rPr>
          <w:szCs w:val="18"/>
          <w:lang w:val="nl-NL"/>
        </w:rPr>
        <w:t xml:space="preserve">de </w:t>
      </w:r>
      <w:r w:rsidRPr="00331AA6" w:rsidR="00465494">
        <w:rPr>
          <w:szCs w:val="18"/>
          <w:lang w:val="nl-NL"/>
        </w:rPr>
        <w:t xml:space="preserve">toezegging aan </w:t>
      </w:r>
      <w:r w:rsidRPr="00331AA6" w:rsidR="00B36380">
        <w:rPr>
          <w:szCs w:val="18"/>
          <w:lang w:val="nl-NL"/>
        </w:rPr>
        <w:t>uw</w:t>
      </w:r>
      <w:r w:rsidRPr="00331AA6" w:rsidR="00465494">
        <w:rPr>
          <w:szCs w:val="18"/>
          <w:lang w:val="nl-NL"/>
        </w:rPr>
        <w:t xml:space="preserve"> Kamer door de minister</w:t>
      </w:r>
      <w:r w:rsidRPr="004A7116" w:rsidR="00465494">
        <w:rPr>
          <w:szCs w:val="18"/>
          <w:lang w:val="nl-NL"/>
        </w:rPr>
        <w:t xml:space="preserve"> van Buitenlandse Zaken </w:t>
      </w:r>
      <w:r w:rsidRPr="004A7116" w:rsidR="00465494">
        <w:rPr>
          <w:szCs w:val="18"/>
          <w:lang w:val="nl-NL"/>
        </w:rPr>
        <w:lastRenderedPageBreak/>
        <w:t xml:space="preserve">tijdens het Tweeminutendebat over de Raad Buitenlandse Zaken op 19 juni jl. </w:t>
      </w:r>
      <w:r w:rsidR="003C6CC7">
        <w:rPr>
          <w:szCs w:val="18"/>
          <w:lang w:val="nl-NL"/>
        </w:rPr>
        <w:t xml:space="preserve">Hier was echter geen draagvlak voor. </w:t>
      </w:r>
      <w:r w:rsidRPr="004A7116" w:rsidR="00465494">
        <w:rPr>
          <w:szCs w:val="18"/>
          <w:lang w:val="nl-NL"/>
        </w:rPr>
        <w:t>Daarnaast bevat de Raadspositie een bepaling waarmee de toepassing van de richtlijn nog een jaar wordt uitgesteld. Dit uitstel komt bovenop het eerder overeengekomen uitstel op grond van de “stop de klokrichtlijn”</w:t>
      </w:r>
      <w:r w:rsidR="00E2024D">
        <w:rPr>
          <w:rStyle w:val="FootnoteReference"/>
          <w:szCs w:val="18"/>
          <w:lang w:val="nl-NL"/>
        </w:rPr>
        <w:footnoteReference w:id="6"/>
      </w:r>
      <w:r w:rsidRPr="004A7116" w:rsidR="00465494">
        <w:rPr>
          <w:szCs w:val="18"/>
          <w:lang w:val="nl-NL"/>
        </w:rPr>
        <w:t xml:space="preserve">, en betekent dat de verplichtingen </w:t>
      </w:r>
      <w:r w:rsidRPr="004A7116" w:rsidR="00F92C24">
        <w:rPr>
          <w:szCs w:val="18"/>
          <w:lang w:val="nl-NL"/>
        </w:rPr>
        <w:t xml:space="preserve">voor bedrijven van toepassing </w:t>
      </w:r>
      <w:r w:rsidRPr="004A7116" w:rsidR="00465494">
        <w:rPr>
          <w:szCs w:val="18"/>
          <w:lang w:val="nl-NL"/>
        </w:rPr>
        <w:t>zullen worden vanaf juli 2029.</w:t>
      </w:r>
    </w:p>
    <w:p w:rsidRPr="004A7116" w:rsidR="00465494" w:rsidP="004A7116" w:rsidRDefault="00465494" w14:paraId="410A989A" w14:textId="77777777">
      <w:pPr>
        <w:spacing w:after="0" w:line="240" w:lineRule="exact"/>
        <w:rPr>
          <w:szCs w:val="18"/>
          <w:lang w:val="nl-NL"/>
        </w:rPr>
      </w:pPr>
    </w:p>
    <w:p w:rsidRPr="00CE28B6" w:rsidR="00217A4D" w:rsidP="004A7116" w:rsidRDefault="00217A4D" w14:paraId="3F479CA1" w14:textId="05FF5E83">
      <w:pPr>
        <w:spacing w:after="0" w:line="240" w:lineRule="exact"/>
        <w:rPr>
          <w:szCs w:val="18"/>
          <w:u w:val="single"/>
          <w:lang w:val="nl-NL"/>
        </w:rPr>
      </w:pPr>
      <w:r w:rsidRPr="00CE28B6">
        <w:rPr>
          <w:szCs w:val="18"/>
          <w:u w:val="single"/>
          <w:lang w:val="nl-NL"/>
        </w:rPr>
        <w:t>Vervolg</w:t>
      </w:r>
    </w:p>
    <w:p w:rsidRPr="004A7116" w:rsidR="003E3D7E" w:rsidP="004A7116" w:rsidRDefault="003E3D7E" w14:paraId="361401DE" w14:textId="1F38769E">
      <w:pPr>
        <w:spacing w:after="0" w:line="240" w:lineRule="exact"/>
        <w:rPr>
          <w:rFonts w:eastAsiaTheme="minorEastAsia"/>
          <w:szCs w:val="18"/>
          <w:lang w:val="nl-NL"/>
        </w:rPr>
      </w:pPr>
      <w:r w:rsidRPr="004A7116">
        <w:rPr>
          <w:rFonts w:eastAsiaTheme="minorEastAsia"/>
          <w:szCs w:val="18"/>
          <w:lang w:val="nl-NL"/>
        </w:rPr>
        <w:t xml:space="preserve">Naar verwachting zal het Europees Parlement in oktober </w:t>
      </w:r>
      <w:r w:rsidR="005D7C39">
        <w:rPr>
          <w:rFonts w:eastAsiaTheme="minorEastAsia"/>
          <w:szCs w:val="18"/>
          <w:lang w:val="nl-NL"/>
        </w:rPr>
        <w:t>van dit jaar</w:t>
      </w:r>
      <w:r w:rsidRPr="004A7116">
        <w:rPr>
          <w:rFonts w:eastAsiaTheme="minorEastAsia"/>
          <w:szCs w:val="18"/>
          <w:lang w:val="nl-NL"/>
        </w:rPr>
        <w:t xml:space="preserve"> een positie innemen op het Omnibus I-</w:t>
      </w:r>
      <w:r w:rsidRPr="00331AA6">
        <w:rPr>
          <w:rFonts w:eastAsiaTheme="minorEastAsia"/>
          <w:szCs w:val="18"/>
          <w:lang w:val="nl-NL"/>
        </w:rPr>
        <w:t xml:space="preserve">voorstel. </w:t>
      </w:r>
      <w:r w:rsidRPr="00331AA6" w:rsidR="00B36380">
        <w:rPr>
          <w:rFonts w:eastAsiaTheme="minorEastAsia"/>
          <w:szCs w:val="18"/>
          <w:lang w:val="nl-NL"/>
        </w:rPr>
        <w:t>Daarna starten de onderhandelingen tussen de Raad, het Europees Parlement en de Commissie. De uitkomsten zal het kabinet op hun merites beoordelen en daarover positie bepalen.</w:t>
      </w:r>
      <w:r w:rsidR="00B36380">
        <w:rPr>
          <w:rFonts w:eastAsiaTheme="minorEastAsia"/>
          <w:szCs w:val="18"/>
          <w:lang w:val="nl-NL"/>
        </w:rPr>
        <w:t xml:space="preserve"> </w:t>
      </w:r>
      <w:r w:rsidRPr="004A7116">
        <w:rPr>
          <w:rFonts w:eastAsiaTheme="minorEastAsia"/>
          <w:szCs w:val="18"/>
          <w:lang w:val="nl-NL"/>
        </w:rPr>
        <w:t xml:space="preserve">Het kabinet zal ook bij het Europees Parlement de Nederlandse standpunten onder de aandacht blijven brengen. Vanuit de Europese Raad is de wens geuit om vóór het einde van dit jaar de triloog af te ronden en tot een politiek akkoord te komen. Na overeenstemming </w:t>
      </w:r>
      <w:r w:rsidRPr="004A7116" w:rsidDel="001C50AE">
        <w:rPr>
          <w:rFonts w:eastAsiaTheme="minorEastAsia"/>
          <w:szCs w:val="18"/>
          <w:lang w:val="nl-NL"/>
        </w:rPr>
        <w:t xml:space="preserve">over </w:t>
      </w:r>
      <w:r w:rsidRPr="004A7116">
        <w:rPr>
          <w:rFonts w:eastAsiaTheme="minorEastAsia"/>
          <w:szCs w:val="18"/>
          <w:lang w:val="nl-NL"/>
        </w:rPr>
        <w:t xml:space="preserve">de </w:t>
      </w:r>
      <w:r w:rsidRPr="004A7116" w:rsidDel="001C50AE">
        <w:rPr>
          <w:rFonts w:eastAsiaTheme="minorEastAsia"/>
          <w:szCs w:val="18"/>
          <w:lang w:val="nl-NL"/>
        </w:rPr>
        <w:t xml:space="preserve">aanpassingen </w:t>
      </w:r>
      <w:r w:rsidRPr="004A7116">
        <w:rPr>
          <w:rFonts w:eastAsiaTheme="minorEastAsia"/>
          <w:szCs w:val="18"/>
          <w:lang w:val="nl-NL"/>
        </w:rPr>
        <w:t>aan de CSDDD zal het kabinet het implementatietraject van de Wet internationaal verantwoord ondernemen (Wivo) weer oppakken.</w:t>
      </w:r>
    </w:p>
    <w:p w:rsidRPr="004A7116" w:rsidR="003E3D7E" w:rsidP="004A7116" w:rsidRDefault="003E3D7E" w14:paraId="145CB26A" w14:textId="77777777">
      <w:pPr>
        <w:spacing w:after="0" w:line="240" w:lineRule="exact"/>
        <w:rPr>
          <w:rFonts w:eastAsiaTheme="minorEastAsia"/>
          <w:szCs w:val="18"/>
          <w:lang w:val="nl-NL"/>
        </w:rPr>
      </w:pPr>
    </w:p>
    <w:p w:rsidRPr="004A7116" w:rsidR="008C757F" w:rsidP="004A7116" w:rsidRDefault="005B351C" w14:paraId="1FF1EFA4" w14:textId="3E4E143D">
      <w:pPr>
        <w:autoSpaceDE w:val="0"/>
        <w:autoSpaceDN w:val="0"/>
        <w:adjustRightInd w:val="0"/>
        <w:spacing w:after="0" w:line="240" w:lineRule="exact"/>
        <w:rPr>
          <w:b/>
          <w:bCs/>
          <w:color w:val="FF0000"/>
          <w:szCs w:val="18"/>
          <w:lang w:val="nl-NL"/>
        </w:rPr>
      </w:pPr>
      <w:bookmarkStart w:name="_Hlk201758099" w:id="3"/>
      <w:r w:rsidRPr="0023459C">
        <w:rPr>
          <w:rFonts w:eastAsiaTheme="minorEastAsia"/>
          <w:b/>
          <w:bCs/>
          <w:szCs w:val="18"/>
          <w:lang w:val="nl-NL"/>
        </w:rPr>
        <w:t>Toezeggingen</w:t>
      </w:r>
      <w:r w:rsidRPr="0023459C" w:rsidR="005020F8">
        <w:rPr>
          <w:rFonts w:eastAsiaTheme="minorEastAsia"/>
          <w:b/>
          <w:bCs/>
          <w:szCs w:val="18"/>
          <w:lang w:val="nl-NL"/>
        </w:rPr>
        <w:t xml:space="preserve"> </w:t>
      </w:r>
      <w:r w:rsidRPr="0023459C">
        <w:rPr>
          <w:rFonts w:eastAsiaTheme="minorEastAsia"/>
          <w:b/>
          <w:bCs/>
          <w:szCs w:val="18"/>
          <w:lang w:val="nl-NL"/>
        </w:rPr>
        <w:t>en m</w:t>
      </w:r>
      <w:r w:rsidRPr="0023459C" w:rsidR="008658E0">
        <w:rPr>
          <w:rFonts w:eastAsiaTheme="minorEastAsia"/>
          <w:b/>
          <w:bCs/>
          <w:szCs w:val="18"/>
          <w:lang w:val="nl-NL"/>
        </w:rPr>
        <w:t>otie</w:t>
      </w:r>
      <w:r w:rsidRPr="0023459C" w:rsidR="00253381">
        <w:rPr>
          <w:rFonts w:eastAsiaTheme="minorEastAsia"/>
          <w:b/>
          <w:bCs/>
          <w:szCs w:val="18"/>
          <w:lang w:val="nl-NL"/>
        </w:rPr>
        <w:t xml:space="preserve"> conflictmineralenverordening</w:t>
      </w:r>
      <w:bookmarkEnd w:id="3"/>
    </w:p>
    <w:p w:rsidRPr="004A7116" w:rsidR="007A6511" w:rsidP="004A7116" w:rsidRDefault="00253381" w14:paraId="636DD181" w14:textId="4581F558">
      <w:pPr>
        <w:spacing w:after="0" w:line="240" w:lineRule="exact"/>
        <w:rPr>
          <w:rFonts w:eastAsiaTheme="minorEastAsia"/>
          <w:szCs w:val="18"/>
          <w:lang w:val="nl-NL"/>
        </w:rPr>
      </w:pPr>
      <w:r w:rsidRPr="004A7116">
        <w:rPr>
          <w:rFonts w:eastAsiaTheme="minorEastAsia"/>
          <w:szCs w:val="18"/>
          <w:lang w:val="nl-NL"/>
        </w:rPr>
        <w:t xml:space="preserve">Tijdens het commissiedebat Oorlogen in de Democratische Republiek Congo en Soedan op 25 maart jl. is toegezegd door de </w:t>
      </w:r>
      <w:r w:rsidRPr="004A7116" w:rsidR="00F11F33">
        <w:rPr>
          <w:rFonts w:eastAsiaTheme="minorEastAsia"/>
          <w:szCs w:val="18"/>
          <w:lang w:val="nl-NL"/>
        </w:rPr>
        <w:t xml:space="preserve">toenmalige </w:t>
      </w:r>
      <w:r w:rsidRPr="004A7116">
        <w:rPr>
          <w:rFonts w:eastAsiaTheme="minorEastAsia"/>
          <w:szCs w:val="18"/>
          <w:lang w:val="nl-NL"/>
        </w:rPr>
        <w:t xml:space="preserve">minister </w:t>
      </w:r>
      <w:r w:rsidRPr="004A7116" w:rsidR="00F11F33">
        <w:rPr>
          <w:rFonts w:eastAsiaTheme="minorEastAsia"/>
          <w:szCs w:val="18"/>
          <w:lang w:val="nl-NL"/>
        </w:rPr>
        <w:t xml:space="preserve">voor Buitenlandse Handel en Ontwikkelingshulp </w:t>
      </w:r>
      <w:r w:rsidRPr="004A7116">
        <w:rPr>
          <w:rFonts w:eastAsiaTheme="minorEastAsia"/>
          <w:szCs w:val="18"/>
          <w:lang w:val="nl-NL"/>
        </w:rPr>
        <w:t>om in gesprek te treden met de toezichthouder op de conflictmineralenverordening</w:t>
      </w:r>
      <w:r w:rsidRPr="004A7116" w:rsidR="00854928">
        <w:rPr>
          <w:rFonts w:eastAsiaTheme="minorEastAsia"/>
          <w:szCs w:val="18"/>
          <w:lang w:val="nl-NL"/>
        </w:rPr>
        <w:t xml:space="preserve"> (CMV)</w:t>
      </w:r>
      <w:r w:rsidRPr="004A7116">
        <w:rPr>
          <w:rFonts w:eastAsiaTheme="minorEastAsia"/>
          <w:szCs w:val="18"/>
          <w:lang w:val="nl-NL"/>
        </w:rPr>
        <w:t xml:space="preserve">, de Inspectie Leefomgeving en Transport (ILT), </w:t>
      </w:r>
      <w:r w:rsidRPr="004A7116" w:rsidR="00F11F33">
        <w:rPr>
          <w:rFonts w:eastAsiaTheme="minorEastAsia"/>
          <w:szCs w:val="18"/>
          <w:lang w:val="nl-NL"/>
        </w:rPr>
        <w:t xml:space="preserve">om </w:t>
      </w:r>
      <w:r w:rsidRPr="004A7116">
        <w:rPr>
          <w:rFonts w:eastAsiaTheme="minorEastAsia"/>
          <w:szCs w:val="18"/>
          <w:lang w:val="nl-NL"/>
        </w:rPr>
        <w:t xml:space="preserve">de mogelijkheden te onderzoeken om de verslaglegging onder de verordening openbaar te maken. </w:t>
      </w:r>
    </w:p>
    <w:p w:rsidRPr="004A7116" w:rsidR="00C91B6F" w:rsidP="004A7116" w:rsidRDefault="00C91B6F" w14:paraId="7F13A0BE" w14:textId="77777777">
      <w:pPr>
        <w:spacing w:after="0" w:line="240" w:lineRule="exact"/>
        <w:rPr>
          <w:rFonts w:eastAsiaTheme="minorEastAsia"/>
          <w:szCs w:val="18"/>
          <w:lang w:val="nl-NL"/>
        </w:rPr>
      </w:pPr>
    </w:p>
    <w:p w:rsidRPr="004A7116" w:rsidR="008E77B0" w:rsidP="004A7116" w:rsidRDefault="00C91B6F" w14:paraId="098A786C" w14:textId="7CEB56DE">
      <w:pPr>
        <w:spacing w:after="0" w:line="240" w:lineRule="exact"/>
        <w:rPr>
          <w:rFonts w:eastAsiaTheme="minorEastAsia"/>
          <w:szCs w:val="18"/>
          <w:lang w:val="nl-NL"/>
        </w:rPr>
      </w:pPr>
      <w:r w:rsidRPr="004A7116">
        <w:rPr>
          <w:rFonts w:eastAsiaTheme="minorEastAsia"/>
          <w:szCs w:val="18"/>
          <w:lang w:val="nl-NL"/>
        </w:rPr>
        <w:t>Aangezien de verslaglegging inzake gepaste zorgvuldigheidsbeleid</w:t>
      </w:r>
      <w:r w:rsidRPr="004A7116">
        <w:rPr>
          <w:rStyle w:val="FootnoteReference"/>
          <w:rFonts w:eastAsiaTheme="minorEastAsia"/>
          <w:szCs w:val="18"/>
          <w:lang w:val="nl-NL"/>
        </w:rPr>
        <w:footnoteReference w:id="7"/>
      </w:r>
      <w:r w:rsidRPr="004A7116">
        <w:rPr>
          <w:rFonts w:eastAsiaTheme="minorEastAsia"/>
          <w:szCs w:val="18"/>
          <w:lang w:val="nl-NL"/>
        </w:rPr>
        <w:t xml:space="preserve"> refereert naar een verantwoordelijkheid voor bedrijven lijkt het niet doelmatig om als kabinet deze rapportages te bundelen en publiekelijk vindbaar te maken. </w:t>
      </w:r>
      <w:r w:rsidRPr="004A7116" w:rsidR="00913EF1">
        <w:rPr>
          <w:rFonts w:eastAsiaTheme="minorEastAsia"/>
          <w:szCs w:val="18"/>
          <w:lang w:val="nl-NL"/>
        </w:rPr>
        <w:t>E</w:t>
      </w:r>
      <w:r w:rsidRPr="004A7116">
        <w:rPr>
          <w:rFonts w:eastAsiaTheme="minorEastAsia"/>
          <w:szCs w:val="18"/>
          <w:lang w:val="nl-NL"/>
        </w:rPr>
        <w:t xml:space="preserve">en dergelijke bundeling </w:t>
      </w:r>
      <w:r w:rsidRPr="004A7116" w:rsidR="00913EF1">
        <w:rPr>
          <w:rFonts w:eastAsiaTheme="minorEastAsia"/>
          <w:szCs w:val="18"/>
          <w:lang w:val="nl-NL"/>
        </w:rPr>
        <w:t xml:space="preserve">wordt </w:t>
      </w:r>
      <w:r w:rsidRPr="004A7116">
        <w:rPr>
          <w:rFonts w:eastAsiaTheme="minorEastAsia"/>
          <w:szCs w:val="18"/>
          <w:lang w:val="nl-NL"/>
        </w:rPr>
        <w:t xml:space="preserve">ook niet </w:t>
      </w:r>
      <w:r w:rsidRPr="004A7116" w:rsidR="005159F0">
        <w:rPr>
          <w:rFonts w:eastAsiaTheme="minorEastAsia"/>
          <w:szCs w:val="18"/>
          <w:lang w:val="nl-NL"/>
        </w:rPr>
        <w:t xml:space="preserve">toegepast </w:t>
      </w:r>
      <w:r w:rsidRPr="004A7116" w:rsidR="00356720">
        <w:rPr>
          <w:rFonts w:eastAsiaTheme="minorEastAsia"/>
          <w:szCs w:val="18"/>
          <w:lang w:val="nl-NL"/>
        </w:rPr>
        <w:t xml:space="preserve">bij andere </w:t>
      </w:r>
      <w:r w:rsidRPr="004A7116" w:rsidR="005159F0">
        <w:rPr>
          <w:rFonts w:eastAsiaTheme="minorEastAsia"/>
          <w:szCs w:val="18"/>
          <w:lang w:val="nl-NL"/>
        </w:rPr>
        <w:t>duurzaamheidsrapportage</w:t>
      </w:r>
      <w:r w:rsidRPr="004A7116" w:rsidR="00356720">
        <w:rPr>
          <w:rFonts w:eastAsiaTheme="minorEastAsia"/>
          <w:szCs w:val="18"/>
          <w:lang w:val="nl-NL"/>
        </w:rPr>
        <w:t>verplichtingen</w:t>
      </w:r>
      <w:r w:rsidRPr="004A7116" w:rsidR="005159F0">
        <w:rPr>
          <w:rFonts w:eastAsiaTheme="minorEastAsia"/>
          <w:szCs w:val="18"/>
          <w:lang w:val="nl-NL"/>
        </w:rPr>
        <w:t xml:space="preserve">, zoals in de </w:t>
      </w:r>
      <w:r w:rsidRPr="004A7116" w:rsidR="00356720">
        <w:rPr>
          <w:rFonts w:eastAsiaTheme="minorEastAsia"/>
          <w:i/>
          <w:iCs/>
          <w:szCs w:val="18"/>
          <w:lang w:val="nl-NL"/>
        </w:rPr>
        <w:t xml:space="preserve">Corporate Sustainability Reporting Directive </w:t>
      </w:r>
      <w:r w:rsidRPr="004A7116" w:rsidR="00356720">
        <w:rPr>
          <w:rFonts w:eastAsiaTheme="minorEastAsia"/>
          <w:szCs w:val="18"/>
          <w:lang w:val="nl-NL"/>
        </w:rPr>
        <w:t>(CSRD). Op grond van deze wetgeving rapporteren ondernemingen publiekelijk over hun impacts op duurzaamheid</w:t>
      </w:r>
      <w:r w:rsidR="009256FF">
        <w:rPr>
          <w:rFonts w:eastAsiaTheme="minorEastAsia"/>
          <w:szCs w:val="18"/>
          <w:lang w:val="nl-NL"/>
        </w:rPr>
        <w:t>.</w:t>
      </w:r>
      <w:r w:rsidRPr="004A7116" w:rsidR="00356720">
        <w:rPr>
          <w:rFonts w:eastAsiaTheme="minorEastAsia"/>
          <w:szCs w:val="18"/>
          <w:lang w:val="nl-NL"/>
        </w:rPr>
        <w:t xml:space="preserve"> </w:t>
      </w:r>
      <w:r w:rsidR="009256FF">
        <w:rPr>
          <w:rFonts w:eastAsiaTheme="minorEastAsia"/>
          <w:szCs w:val="18"/>
          <w:lang w:val="nl-NL"/>
        </w:rPr>
        <w:t>D</w:t>
      </w:r>
      <w:r w:rsidRPr="004A7116" w:rsidR="00356720">
        <w:rPr>
          <w:rFonts w:eastAsiaTheme="minorEastAsia"/>
          <w:szCs w:val="18"/>
          <w:lang w:val="nl-NL"/>
        </w:rPr>
        <w:t xml:space="preserve">eze rapportage </w:t>
      </w:r>
      <w:r w:rsidR="009256FF">
        <w:rPr>
          <w:rFonts w:eastAsiaTheme="minorEastAsia"/>
          <w:szCs w:val="18"/>
          <w:lang w:val="nl-NL"/>
        </w:rPr>
        <w:t xml:space="preserve">wordt </w:t>
      </w:r>
      <w:r w:rsidRPr="004A7116" w:rsidR="00356720">
        <w:rPr>
          <w:rFonts w:eastAsiaTheme="minorEastAsia"/>
          <w:szCs w:val="18"/>
          <w:lang w:val="nl-NL"/>
        </w:rPr>
        <w:t xml:space="preserve">niet door de overheid gebundeld. Met </w:t>
      </w:r>
      <w:r w:rsidR="0000368A">
        <w:rPr>
          <w:rFonts w:eastAsiaTheme="minorEastAsia"/>
          <w:szCs w:val="18"/>
          <w:lang w:val="nl-NL"/>
        </w:rPr>
        <w:t>het</w:t>
      </w:r>
      <w:r w:rsidRPr="004A7116" w:rsidR="00356720">
        <w:rPr>
          <w:rFonts w:eastAsiaTheme="minorEastAsia"/>
          <w:szCs w:val="18"/>
          <w:lang w:val="nl-NL"/>
        </w:rPr>
        <w:t xml:space="preserve"> oog op het gelijke speelveld ligt het niet voor de hand om dit wel te doen bij bedrijven die onder de conflictmineralenverordening vallen. </w:t>
      </w:r>
    </w:p>
    <w:p w:rsidRPr="004A7116" w:rsidR="008E77B0" w:rsidP="004A7116" w:rsidRDefault="008E77B0" w14:paraId="7D34F8CA" w14:textId="77777777">
      <w:pPr>
        <w:spacing w:after="0" w:line="240" w:lineRule="exact"/>
        <w:rPr>
          <w:rFonts w:eastAsiaTheme="minorEastAsia"/>
          <w:szCs w:val="18"/>
          <w:lang w:val="nl-NL"/>
        </w:rPr>
      </w:pPr>
    </w:p>
    <w:p w:rsidR="00F73BC8" w:rsidP="004A7116" w:rsidRDefault="00356720" w14:paraId="5D9941CD" w14:textId="5E9FEBE8">
      <w:pPr>
        <w:spacing w:after="0" w:line="240" w:lineRule="exact"/>
        <w:rPr>
          <w:rFonts w:eastAsiaTheme="minorEastAsia"/>
          <w:szCs w:val="18"/>
          <w:lang w:val="nl-NL"/>
        </w:rPr>
      </w:pPr>
      <w:r w:rsidRPr="004A7116">
        <w:rPr>
          <w:rFonts w:eastAsiaTheme="minorEastAsia"/>
          <w:szCs w:val="18"/>
          <w:lang w:val="nl-NL"/>
        </w:rPr>
        <w:t xml:space="preserve">Uiteraard acht het kabinet transparantie en de naleving van de verslagleggingsverplichting van bedrijven </w:t>
      </w:r>
      <w:r w:rsidRPr="004A7116" w:rsidR="005159F0">
        <w:rPr>
          <w:rFonts w:eastAsiaTheme="minorEastAsia"/>
          <w:szCs w:val="18"/>
          <w:lang w:val="nl-NL"/>
        </w:rPr>
        <w:t xml:space="preserve">belangrijk </w:t>
      </w:r>
      <w:r w:rsidRPr="004A7116">
        <w:rPr>
          <w:rFonts w:eastAsiaTheme="minorEastAsia"/>
          <w:szCs w:val="18"/>
          <w:lang w:val="nl-NL"/>
        </w:rPr>
        <w:t xml:space="preserve">voor de implementatie van de verordening. Om die reden zijn er gesprekken met de ILT </w:t>
      </w:r>
      <w:r w:rsidRPr="004A7116" w:rsidR="00970F97">
        <w:rPr>
          <w:rFonts w:eastAsiaTheme="minorEastAsia"/>
          <w:szCs w:val="18"/>
          <w:lang w:val="nl-NL"/>
        </w:rPr>
        <w:t xml:space="preserve">geweest </w:t>
      </w:r>
      <w:r w:rsidRPr="004A7116">
        <w:rPr>
          <w:rFonts w:eastAsiaTheme="minorEastAsia"/>
          <w:szCs w:val="18"/>
          <w:lang w:val="nl-NL"/>
        </w:rPr>
        <w:t xml:space="preserve">om de naleving van artikel 7 lid 3 door bedrijven sterker te verankeren in het toezicht, onder meer door bedrijven te attenderen op dit element van de verordening. Daarnaast </w:t>
      </w:r>
      <w:r w:rsidRPr="004A7116" w:rsidR="00313B94">
        <w:rPr>
          <w:rFonts w:eastAsiaTheme="minorEastAsia"/>
          <w:szCs w:val="18"/>
          <w:lang w:val="nl-NL"/>
        </w:rPr>
        <w:t xml:space="preserve">is het kabinet in gesprek getreden met de ILT over de openbaarmaking </w:t>
      </w:r>
      <w:r w:rsidRPr="004A7116" w:rsidR="00970F97">
        <w:rPr>
          <w:rFonts w:eastAsiaTheme="minorEastAsia"/>
          <w:szCs w:val="18"/>
          <w:lang w:val="nl-NL"/>
        </w:rPr>
        <w:t xml:space="preserve">van </w:t>
      </w:r>
      <w:r w:rsidRPr="004A7116">
        <w:rPr>
          <w:rFonts w:eastAsiaTheme="minorEastAsia"/>
          <w:szCs w:val="18"/>
          <w:lang w:val="nl-NL"/>
        </w:rPr>
        <w:t>de</w:t>
      </w:r>
      <w:r w:rsidRPr="004A7116" w:rsidR="00313B94">
        <w:rPr>
          <w:rFonts w:eastAsiaTheme="minorEastAsia"/>
          <w:szCs w:val="18"/>
          <w:lang w:val="nl-NL"/>
        </w:rPr>
        <w:t xml:space="preserve"> verslaglegging</w:t>
      </w:r>
      <w:r w:rsidRPr="004A7116">
        <w:rPr>
          <w:rFonts w:eastAsiaTheme="minorEastAsia"/>
          <w:szCs w:val="18"/>
          <w:lang w:val="nl-NL"/>
        </w:rPr>
        <w:t xml:space="preserve"> inzake het toezicht op de conflictmineralenverordening</w:t>
      </w:r>
      <w:r w:rsidR="00ED558B">
        <w:rPr>
          <w:rFonts w:eastAsiaTheme="minorEastAsia"/>
          <w:szCs w:val="18"/>
          <w:lang w:val="nl-NL"/>
        </w:rPr>
        <w:t>.</w:t>
      </w:r>
      <w:r w:rsidRPr="004A7116">
        <w:rPr>
          <w:rStyle w:val="FootnoteReference"/>
          <w:rFonts w:eastAsiaTheme="minorEastAsia"/>
          <w:szCs w:val="18"/>
          <w:lang w:val="nl-NL"/>
        </w:rPr>
        <w:footnoteReference w:id="8"/>
      </w:r>
      <w:r w:rsidRPr="004A7116" w:rsidR="00313B94">
        <w:rPr>
          <w:rFonts w:eastAsiaTheme="minorEastAsia"/>
          <w:szCs w:val="18"/>
          <w:lang w:val="nl-NL"/>
        </w:rPr>
        <w:t xml:space="preserve"> De ILT heeft aangegeven deze jaarverslagen openbaar te gaan maken vanaf het jaar 2024. </w:t>
      </w:r>
      <w:r w:rsidR="00172E4F">
        <w:rPr>
          <w:rFonts w:eastAsiaTheme="minorEastAsia"/>
          <w:szCs w:val="18"/>
          <w:lang w:val="nl-NL"/>
        </w:rPr>
        <w:t>De publicatie van het jaarverslag 2024 zal later dit jaar plaatsvinden.</w:t>
      </w:r>
    </w:p>
    <w:p w:rsidRPr="004A7116" w:rsidR="00ED558B" w:rsidP="004A7116" w:rsidRDefault="00ED558B" w14:paraId="3E89F84E" w14:textId="77777777">
      <w:pPr>
        <w:spacing w:after="0" w:line="240" w:lineRule="exact"/>
        <w:rPr>
          <w:rFonts w:eastAsiaTheme="minorEastAsia"/>
          <w:szCs w:val="18"/>
          <w:lang w:val="nl-NL"/>
        </w:rPr>
      </w:pPr>
    </w:p>
    <w:p w:rsidRPr="0000368A" w:rsidR="00AC3F32" w:rsidP="004A7116" w:rsidRDefault="00AC3F32" w14:paraId="2D6F7AF1" w14:textId="6F25D4FA">
      <w:pPr>
        <w:spacing w:after="0" w:line="240" w:lineRule="exact"/>
        <w:rPr>
          <w:rFonts w:eastAsiaTheme="minorEastAsia"/>
          <w:szCs w:val="18"/>
          <w:u w:val="single"/>
          <w:lang w:val="nl-NL"/>
        </w:rPr>
      </w:pPr>
      <w:r w:rsidRPr="0000368A">
        <w:rPr>
          <w:rFonts w:eastAsiaTheme="minorEastAsia"/>
          <w:szCs w:val="18"/>
          <w:u w:val="single"/>
          <w:lang w:val="nl-NL"/>
        </w:rPr>
        <w:t>Motie</w:t>
      </w:r>
      <w:r w:rsidRPr="0000368A" w:rsidR="00C11DDA">
        <w:rPr>
          <w:rFonts w:eastAsiaTheme="minorEastAsia"/>
          <w:szCs w:val="18"/>
          <w:u w:val="single"/>
          <w:lang w:val="nl-NL"/>
        </w:rPr>
        <w:t xml:space="preserve"> Hirsch</w:t>
      </w:r>
      <w:r w:rsidRPr="0000368A" w:rsidR="00B96B9A">
        <w:rPr>
          <w:rFonts w:eastAsiaTheme="minorEastAsia"/>
          <w:szCs w:val="18"/>
          <w:u w:val="single"/>
          <w:lang w:val="nl-NL"/>
        </w:rPr>
        <w:t xml:space="preserve"> </w:t>
      </w:r>
    </w:p>
    <w:p w:rsidRPr="004A7116" w:rsidR="000E1CE3" w:rsidP="004A7116" w:rsidRDefault="005B351C" w14:paraId="77C0F670" w14:textId="027D7388">
      <w:pPr>
        <w:spacing w:after="0" w:line="240" w:lineRule="exact"/>
        <w:rPr>
          <w:rFonts w:eastAsiaTheme="minorEastAsia"/>
          <w:szCs w:val="18"/>
          <w:lang w:val="nl-NL"/>
        </w:rPr>
      </w:pPr>
      <w:r w:rsidRPr="004A7116">
        <w:rPr>
          <w:rFonts w:eastAsiaTheme="minorEastAsia"/>
          <w:szCs w:val="18"/>
          <w:lang w:val="nl-NL"/>
        </w:rPr>
        <w:t>De motie</w:t>
      </w:r>
      <w:r w:rsidR="00AC3F32">
        <w:rPr>
          <w:rFonts w:eastAsiaTheme="minorEastAsia"/>
          <w:szCs w:val="18"/>
          <w:lang w:val="nl-NL"/>
        </w:rPr>
        <w:t xml:space="preserve"> </w:t>
      </w:r>
      <w:r w:rsidRPr="004A7116">
        <w:rPr>
          <w:rFonts w:eastAsiaTheme="minorEastAsia"/>
          <w:szCs w:val="18"/>
          <w:lang w:val="nl-NL"/>
        </w:rPr>
        <w:t xml:space="preserve">Hirsch van </w:t>
      </w:r>
      <w:r w:rsidRPr="004A7116" w:rsidR="004D18B9">
        <w:rPr>
          <w:rFonts w:eastAsiaTheme="minorEastAsia"/>
          <w:szCs w:val="18"/>
          <w:lang w:val="nl-NL"/>
        </w:rPr>
        <w:t>27 mei jl.</w:t>
      </w:r>
      <w:r w:rsidR="00B17829">
        <w:rPr>
          <w:rStyle w:val="FootnoteReference"/>
          <w:rFonts w:eastAsiaTheme="minorEastAsia"/>
          <w:szCs w:val="18"/>
          <w:lang w:val="nl-NL"/>
        </w:rPr>
        <w:footnoteReference w:id="9"/>
      </w:r>
      <w:r w:rsidRPr="004A7116">
        <w:rPr>
          <w:rFonts w:eastAsiaTheme="minorEastAsia"/>
          <w:szCs w:val="18"/>
          <w:lang w:val="nl-NL"/>
        </w:rPr>
        <w:t xml:space="preserve"> riep op tot </w:t>
      </w:r>
      <w:r w:rsidRPr="004A7116" w:rsidR="0063673A">
        <w:rPr>
          <w:rFonts w:eastAsiaTheme="minorEastAsia"/>
          <w:szCs w:val="18"/>
          <w:lang w:val="nl-NL"/>
        </w:rPr>
        <w:t>opname van Rwanda en Uganda op de lijst van hoogrisicolanden (artikel 14 lid 2)</w:t>
      </w:r>
      <w:r w:rsidRPr="004A7116" w:rsidR="004D18B9">
        <w:rPr>
          <w:rFonts w:eastAsiaTheme="minorEastAsia"/>
          <w:szCs w:val="18"/>
          <w:lang w:val="nl-NL"/>
        </w:rPr>
        <w:t xml:space="preserve">. </w:t>
      </w:r>
      <w:r w:rsidRPr="004A7116" w:rsidR="0063673A">
        <w:rPr>
          <w:rFonts w:eastAsiaTheme="minorEastAsia"/>
          <w:szCs w:val="18"/>
          <w:lang w:val="nl-NL"/>
        </w:rPr>
        <w:t xml:space="preserve">De </w:t>
      </w:r>
      <w:r w:rsidRPr="004A7116">
        <w:rPr>
          <w:rFonts w:eastAsiaTheme="minorEastAsia"/>
          <w:szCs w:val="18"/>
          <w:lang w:val="nl-NL"/>
        </w:rPr>
        <w:t>CMV</w:t>
      </w:r>
      <w:r w:rsidRPr="004A7116" w:rsidR="0063673A">
        <w:rPr>
          <w:rFonts w:eastAsiaTheme="minorEastAsia"/>
          <w:szCs w:val="18"/>
          <w:lang w:val="nl-NL"/>
        </w:rPr>
        <w:t xml:space="preserve"> </w:t>
      </w:r>
      <w:r w:rsidRPr="004A7116" w:rsidR="005159F0">
        <w:rPr>
          <w:rFonts w:eastAsiaTheme="minorEastAsia"/>
          <w:szCs w:val="18"/>
          <w:lang w:val="nl-NL"/>
        </w:rPr>
        <w:t xml:space="preserve">regelt </w:t>
      </w:r>
      <w:r w:rsidRPr="004A7116" w:rsidR="0063673A">
        <w:rPr>
          <w:rFonts w:eastAsiaTheme="minorEastAsia"/>
          <w:szCs w:val="18"/>
          <w:lang w:val="nl-NL"/>
        </w:rPr>
        <w:t xml:space="preserve">dat de Commissie een beroep </w:t>
      </w:r>
      <w:r w:rsidRPr="004A7116">
        <w:rPr>
          <w:rFonts w:eastAsiaTheme="minorEastAsia"/>
          <w:szCs w:val="18"/>
          <w:lang w:val="nl-NL"/>
        </w:rPr>
        <w:t>doet</w:t>
      </w:r>
      <w:r w:rsidRPr="004A7116" w:rsidR="0063673A">
        <w:rPr>
          <w:rFonts w:eastAsiaTheme="minorEastAsia"/>
          <w:szCs w:val="18"/>
          <w:lang w:val="nl-NL"/>
        </w:rPr>
        <w:t xml:space="preserve"> op externe experts om tot een lijst van conflict- en hoogrisicogebieden te komen. Lidstaten en de Commissie hebben </w:t>
      </w:r>
      <w:r w:rsidRPr="004A7116" w:rsidR="00C867CF">
        <w:rPr>
          <w:rFonts w:eastAsiaTheme="minorEastAsia"/>
          <w:szCs w:val="18"/>
          <w:lang w:val="nl-NL"/>
        </w:rPr>
        <w:t>geen</w:t>
      </w:r>
      <w:r w:rsidRPr="004A7116" w:rsidR="0063673A">
        <w:rPr>
          <w:rFonts w:eastAsiaTheme="minorEastAsia"/>
          <w:szCs w:val="18"/>
          <w:lang w:val="nl-NL"/>
        </w:rPr>
        <w:t xml:space="preserve"> directe invloed op </w:t>
      </w:r>
      <w:r w:rsidRPr="004A7116">
        <w:rPr>
          <w:rFonts w:eastAsiaTheme="minorEastAsia"/>
          <w:szCs w:val="18"/>
          <w:lang w:val="nl-NL"/>
        </w:rPr>
        <w:t>de lijst.</w:t>
      </w:r>
      <w:r w:rsidRPr="004A7116" w:rsidR="00BC4351">
        <w:rPr>
          <w:rStyle w:val="FootnoteReference"/>
          <w:rFonts w:eastAsiaTheme="minorEastAsia"/>
          <w:szCs w:val="18"/>
          <w:lang w:val="nl-NL"/>
        </w:rPr>
        <w:footnoteReference w:id="10"/>
      </w:r>
      <w:r w:rsidRPr="004A7116">
        <w:rPr>
          <w:rFonts w:eastAsiaTheme="minorEastAsia"/>
          <w:szCs w:val="18"/>
          <w:lang w:val="nl-NL"/>
        </w:rPr>
        <w:t xml:space="preserve"> </w:t>
      </w:r>
      <w:r w:rsidRPr="004A7116" w:rsidR="00C867CF">
        <w:rPr>
          <w:rFonts w:eastAsiaTheme="minorEastAsia"/>
          <w:szCs w:val="18"/>
          <w:lang w:val="nl-NL"/>
        </w:rPr>
        <w:t xml:space="preserve">Desalniettemin heeft het kabinet </w:t>
      </w:r>
      <w:r w:rsidRPr="004A7116">
        <w:rPr>
          <w:rFonts w:eastAsiaTheme="minorEastAsia"/>
          <w:szCs w:val="18"/>
          <w:lang w:val="nl-NL"/>
        </w:rPr>
        <w:t xml:space="preserve">de zorgen van </w:t>
      </w:r>
      <w:r w:rsidRPr="004A7116" w:rsidR="00C867CF">
        <w:rPr>
          <w:rFonts w:eastAsiaTheme="minorEastAsia"/>
          <w:szCs w:val="18"/>
          <w:lang w:val="nl-NL"/>
        </w:rPr>
        <w:t xml:space="preserve">Uw Kamer over doorvoerlanden besproken met de Commissie. De Commissie gaf aan de intentie te hebben om het element van doorvoerlanden </w:t>
      </w:r>
      <w:r w:rsidRPr="004A7116">
        <w:rPr>
          <w:rFonts w:eastAsiaTheme="minorEastAsia"/>
          <w:szCs w:val="18"/>
          <w:lang w:val="nl-NL"/>
        </w:rPr>
        <w:t>onderdeel te maken van</w:t>
      </w:r>
      <w:r w:rsidRPr="004A7116" w:rsidR="00C867CF">
        <w:rPr>
          <w:rFonts w:eastAsiaTheme="minorEastAsia"/>
          <w:szCs w:val="18"/>
          <w:lang w:val="nl-NL"/>
        </w:rPr>
        <w:t xml:space="preserve"> de aanbestedingsprocedure voor </w:t>
      </w:r>
      <w:r w:rsidRPr="004A7116">
        <w:rPr>
          <w:rFonts w:eastAsiaTheme="minorEastAsia"/>
          <w:szCs w:val="18"/>
          <w:lang w:val="nl-NL"/>
        </w:rPr>
        <w:t xml:space="preserve">actualisatie </w:t>
      </w:r>
      <w:r w:rsidRPr="004A7116" w:rsidR="00C867CF">
        <w:rPr>
          <w:rFonts w:eastAsiaTheme="minorEastAsia"/>
          <w:szCs w:val="18"/>
          <w:lang w:val="nl-NL"/>
        </w:rPr>
        <w:t xml:space="preserve">van de lijst. De Commissie </w:t>
      </w:r>
      <w:r w:rsidRPr="004A7116">
        <w:rPr>
          <w:rFonts w:eastAsiaTheme="minorEastAsia"/>
          <w:szCs w:val="18"/>
          <w:lang w:val="nl-NL"/>
        </w:rPr>
        <w:t>wil hiertoe eind 2025 een overeenkomst sluiten met een externe partij</w:t>
      </w:r>
      <w:r w:rsidRPr="004A7116" w:rsidR="000E1CE3">
        <w:rPr>
          <w:rFonts w:eastAsiaTheme="minorEastAsia"/>
          <w:szCs w:val="18"/>
          <w:lang w:val="nl-NL"/>
        </w:rPr>
        <w:t xml:space="preserve">. </w:t>
      </w:r>
    </w:p>
    <w:p w:rsidRPr="004A7116" w:rsidR="000E1CE3" w:rsidP="004A7116" w:rsidRDefault="000E1CE3" w14:paraId="642F28D6" w14:textId="77777777">
      <w:pPr>
        <w:spacing w:after="0" w:line="240" w:lineRule="exact"/>
        <w:rPr>
          <w:rFonts w:eastAsiaTheme="minorEastAsia"/>
          <w:szCs w:val="18"/>
          <w:lang w:val="nl-NL"/>
        </w:rPr>
      </w:pPr>
    </w:p>
    <w:p w:rsidRPr="004A7116" w:rsidR="00974383" w:rsidP="004A7116" w:rsidRDefault="005B351C" w14:paraId="03288D71" w14:textId="3C826DCA">
      <w:pPr>
        <w:spacing w:after="0" w:line="240" w:lineRule="exact"/>
        <w:rPr>
          <w:rFonts w:eastAsiaTheme="minorEastAsia"/>
          <w:szCs w:val="18"/>
          <w:lang w:val="nl-NL"/>
        </w:rPr>
      </w:pPr>
      <w:r w:rsidRPr="004A7116">
        <w:rPr>
          <w:rFonts w:eastAsiaTheme="minorEastAsia"/>
          <w:szCs w:val="18"/>
          <w:lang w:val="nl-NL"/>
        </w:rPr>
        <w:t xml:space="preserve">De motie vraagt ook om internationaal toezicht op de handelsketens samen met de Congolese overheid. </w:t>
      </w:r>
      <w:r w:rsidRPr="004A7116" w:rsidR="00974383">
        <w:rPr>
          <w:rFonts w:eastAsiaTheme="minorEastAsia"/>
          <w:szCs w:val="18"/>
          <w:lang w:val="nl-NL"/>
        </w:rPr>
        <w:t>Het toezicht op de</w:t>
      </w:r>
      <w:r w:rsidRPr="004A7116" w:rsidR="000E1CE3">
        <w:rPr>
          <w:rFonts w:eastAsiaTheme="minorEastAsia"/>
          <w:szCs w:val="18"/>
          <w:lang w:val="nl-NL"/>
        </w:rPr>
        <w:t xml:space="preserve"> gepaste zorgvuldigheidsverplichtingen</w:t>
      </w:r>
      <w:r w:rsidRPr="004A7116" w:rsidR="00722148">
        <w:rPr>
          <w:rFonts w:eastAsiaTheme="minorEastAsia"/>
          <w:szCs w:val="18"/>
          <w:lang w:val="nl-NL"/>
        </w:rPr>
        <w:t xml:space="preserve"> </w:t>
      </w:r>
      <w:r w:rsidRPr="004A7116" w:rsidR="000E1CE3">
        <w:rPr>
          <w:rFonts w:eastAsiaTheme="minorEastAsia"/>
          <w:szCs w:val="18"/>
          <w:lang w:val="nl-NL"/>
        </w:rPr>
        <w:t xml:space="preserve">verankerd in de </w:t>
      </w:r>
      <w:r w:rsidRPr="004A7116" w:rsidR="00974383">
        <w:rPr>
          <w:rFonts w:eastAsiaTheme="minorEastAsia"/>
          <w:szCs w:val="18"/>
          <w:lang w:val="nl-NL"/>
        </w:rPr>
        <w:t xml:space="preserve">Europese conflictmineralenverordening wordt in elke lidstaat toevertrouwd aan de nationale </w:t>
      </w:r>
      <w:r w:rsidRPr="004A7116">
        <w:rPr>
          <w:rFonts w:eastAsiaTheme="minorEastAsia"/>
          <w:szCs w:val="18"/>
          <w:lang w:val="nl-NL"/>
        </w:rPr>
        <w:t xml:space="preserve">bevoegde </w:t>
      </w:r>
      <w:r w:rsidRPr="004A7116" w:rsidR="00974383">
        <w:rPr>
          <w:rFonts w:eastAsiaTheme="minorEastAsia"/>
          <w:szCs w:val="18"/>
          <w:lang w:val="nl-NL"/>
        </w:rPr>
        <w:t>autoriteit (toezichthouder). In Nederland is dat de ILT</w:t>
      </w:r>
      <w:r w:rsidRPr="004A7116">
        <w:rPr>
          <w:rFonts w:eastAsiaTheme="minorEastAsia"/>
          <w:szCs w:val="18"/>
          <w:lang w:val="nl-NL"/>
        </w:rPr>
        <w:t>, die sinds 2022</w:t>
      </w:r>
      <w:r w:rsidRPr="004A7116" w:rsidR="00974383">
        <w:rPr>
          <w:rFonts w:eastAsiaTheme="minorEastAsia"/>
          <w:szCs w:val="18"/>
          <w:lang w:val="nl-NL"/>
        </w:rPr>
        <w:t xml:space="preserve"> toezicht </w:t>
      </w:r>
      <w:r w:rsidRPr="004A7116">
        <w:rPr>
          <w:rFonts w:eastAsiaTheme="minorEastAsia"/>
          <w:szCs w:val="18"/>
          <w:lang w:val="nl-NL"/>
        </w:rPr>
        <w:t xml:space="preserve">houdt </w:t>
      </w:r>
      <w:r w:rsidRPr="004A7116" w:rsidR="00974383">
        <w:rPr>
          <w:rFonts w:eastAsiaTheme="minorEastAsia"/>
          <w:szCs w:val="18"/>
          <w:lang w:val="nl-NL"/>
        </w:rPr>
        <w:t xml:space="preserve">op de </w:t>
      </w:r>
      <w:r w:rsidRPr="004A7116">
        <w:rPr>
          <w:rFonts w:eastAsiaTheme="minorEastAsia"/>
          <w:szCs w:val="18"/>
          <w:lang w:val="nl-NL"/>
        </w:rPr>
        <w:t xml:space="preserve">naleving van </w:t>
      </w:r>
      <w:r w:rsidRPr="004A7116" w:rsidR="00974383">
        <w:rPr>
          <w:rFonts w:eastAsiaTheme="minorEastAsia"/>
          <w:szCs w:val="18"/>
          <w:lang w:val="nl-NL"/>
        </w:rPr>
        <w:t xml:space="preserve">de verplichtingen. </w:t>
      </w:r>
      <w:r w:rsidRPr="004A7116" w:rsidR="00577DAD">
        <w:rPr>
          <w:rFonts w:eastAsiaTheme="minorEastAsia"/>
          <w:szCs w:val="18"/>
          <w:lang w:val="nl-NL"/>
        </w:rPr>
        <w:t>Omdat</w:t>
      </w:r>
      <w:r w:rsidRPr="004A7116" w:rsidR="00D16CC0">
        <w:rPr>
          <w:rFonts w:eastAsiaTheme="minorEastAsia"/>
          <w:szCs w:val="18"/>
          <w:lang w:val="nl-NL"/>
        </w:rPr>
        <w:t xml:space="preserve"> het hier gaat over de import van goederen naar de Europese interne markt ligt internationaal toezicht </w:t>
      </w:r>
      <w:r w:rsidRPr="004A7116" w:rsidR="00577DAD">
        <w:rPr>
          <w:rFonts w:eastAsiaTheme="minorEastAsia"/>
          <w:szCs w:val="18"/>
          <w:lang w:val="nl-NL"/>
        </w:rPr>
        <w:t>niet voor de hand. Bovendien zijn</w:t>
      </w:r>
      <w:r w:rsidRPr="004A7116" w:rsidR="00D16CC0">
        <w:rPr>
          <w:rFonts w:eastAsiaTheme="minorEastAsia"/>
          <w:szCs w:val="18"/>
          <w:lang w:val="nl-NL"/>
        </w:rPr>
        <w:t xml:space="preserve"> de gepaste zorgvuldigheidsverplichtingen</w:t>
      </w:r>
      <w:r w:rsidRPr="004A7116" w:rsidR="004C20E1">
        <w:rPr>
          <w:rFonts w:eastAsiaTheme="minorEastAsia"/>
          <w:szCs w:val="18"/>
          <w:lang w:val="nl-NL"/>
        </w:rPr>
        <w:t xml:space="preserve"> </w:t>
      </w:r>
      <w:r w:rsidRPr="004A7116" w:rsidR="00D16CC0">
        <w:rPr>
          <w:rFonts w:eastAsiaTheme="minorEastAsia"/>
          <w:szCs w:val="18"/>
          <w:lang w:val="nl-NL"/>
        </w:rPr>
        <w:t>lande</w:t>
      </w:r>
      <w:r w:rsidRPr="004A7116" w:rsidR="00577DAD">
        <w:rPr>
          <w:rFonts w:eastAsiaTheme="minorEastAsia"/>
          <w:szCs w:val="18"/>
          <w:lang w:val="nl-NL"/>
        </w:rPr>
        <w:t>n</w:t>
      </w:r>
      <w:r w:rsidRPr="004A7116" w:rsidR="00D16CC0">
        <w:rPr>
          <w:rFonts w:eastAsiaTheme="minorEastAsia"/>
          <w:szCs w:val="18"/>
          <w:lang w:val="nl-NL"/>
        </w:rPr>
        <w:t>neutraal. Hoewel er onder de verordening specifiek aandacht is voor import uit</w:t>
      </w:r>
      <w:r w:rsidRPr="004A7116" w:rsidR="004C20E1">
        <w:rPr>
          <w:rFonts w:eastAsiaTheme="minorEastAsia"/>
          <w:szCs w:val="18"/>
          <w:lang w:val="nl-NL"/>
        </w:rPr>
        <w:t xml:space="preserve"> conflict- en ho</w:t>
      </w:r>
      <w:r w:rsidRPr="004A7116" w:rsidR="005159F0">
        <w:rPr>
          <w:rFonts w:eastAsiaTheme="minorEastAsia"/>
          <w:szCs w:val="18"/>
          <w:lang w:val="nl-NL"/>
        </w:rPr>
        <w:t>og</w:t>
      </w:r>
      <w:r w:rsidRPr="004A7116" w:rsidR="004C20E1">
        <w:rPr>
          <w:rFonts w:eastAsiaTheme="minorEastAsia"/>
          <w:szCs w:val="18"/>
          <w:lang w:val="nl-NL"/>
        </w:rPr>
        <w:t>risicolanden moeten</w:t>
      </w:r>
      <w:r w:rsidRPr="004A7116" w:rsidR="00D16CC0">
        <w:rPr>
          <w:rFonts w:eastAsiaTheme="minorEastAsia"/>
          <w:szCs w:val="18"/>
          <w:lang w:val="nl-NL"/>
        </w:rPr>
        <w:t xml:space="preserve"> </w:t>
      </w:r>
      <w:r w:rsidRPr="004A7116" w:rsidR="004C20E1">
        <w:rPr>
          <w:rFonts w:eastAsiaTheme="minorEastAsia"/>
          <w:szCs w:val="18"/>
          <w:lang w:val="nl-NL"/>
        </w:rPr>
        <w:t>alle bedrijven</w:t>
      </w:r>
      <w:r w:rsidRPr="004A7116" w:rsidR="00722148">
        <w:rPr>
          <w:rFonts w:eastAsiaTheme="minorEastAsia"/>
          <w:szCs w:val="18"/>
          <w:lang w:val="nl-NL"/>
        </w:rPr>
        <w:t xml:space="preserve"> </w:t>
      </w:r>
      <w:r w:rsidRPr="004A7116" w:rsidR="004C20E1">
        <w:rPr>
          <w:rFonts w:eastAsiaTheme="minorEastAsia"/>
          <w:szCs w:val="18"/>
          <w:lang w:val="nl-NL"/>
        </w:rPr>
        <w:t xml:space="preserve">die </w:t>
      </w:r>
      <w:r w:rsidRPr="004A7116" w:rsidR="00D16CC0">
        <w:rPr>
          <w:rFonts w:eastAsiaTheme="minorEastAsia"/>
          <w:szCs w:val="18"/>
          <w:lang w:val="nl-NL"/>
        </w:rPr>
        <w:t xml:space="preserve">boven de </w:t>
      </w:r>
      <w:r w:rsidRPr="004A7116" w:rsidR="004C20E1">
        <w:rPr>
          <w:rFonts w:eastAsiaTheme="minorEastAsia"/>
          <w:szCs w:val="18"/>
          <w:lang w:val="nl-NL"/>
        </w:rPr>
        <w:t xml:space="preserve">in de verordening vastgelegde </w:t>
      </w:r>
      <w:r w:rsidRPr="004A7116" w:rsidR="00D16CC0">
        <w:rPr>
          <w:rFonts w:eastAsiaTheme="minorEastAsia"/>
          <w:szCs w:val="18"/>
          <w:lang w:val="nl-NL"/>
        </w:rPr>
        <w:t xml:space="preserve">drempelwaarden importeren </w:t>
      </w:r>
      <w:r w:rsidRPr="004A7116" w:rsidR="004C20E1">
        <w:rPr>
          <w:rFonts w:eastAsiaTheme="minorEastAsia"/>
          <w:szCs w:val="18"/>
          <w:lang w:val="nl-NL"/>
        </w:rPr>
        <w:t xml:space="preserve">zich </w:t>
      </w:r>
      <w:r w:rsidRPr="004A7116" w:rsidR="00D16CC0">
        <w:rPr>
          <w:rFonts w:eastAsiaTheme="minorEastAsia"/>
          <w:szCs w:val="18"/>
          <w:lang w:val="nl-NL"/>
        </w:rPr>
        <w:t xml:space="preserve">aan deze verplichtingen houden. </w:t>
      </w:r>
    </w:p>
    <w:p w:rsidRPr="004A7116" w:rsidR="00974383" w:rsidP="004A7116" w:rsidRDefault="00974383" w14:paraId="7AB246C3" w14:textId="77777777">
      <w:pPr>
        <w:spacing w:after="0" w:line="240" w:lineRule="exact"/>
        <w:jc w:val="both"/>
        <w:rPr>
          <w:rFonts w:eastAsiaTheme="minorEastAsia"/>
          <w:szCs w:val="18"/>
          <w:lang w:val="nl-NL"/>
        </w:rPr>
      </w:pPr>
    </w:p>
    <w:p w:rsidRPr="004A7116" w:rsidR="0063673A" w:rsidP="004A7116" w:rsidRDefault="0063673A" w14:paraId="4B42124B" w14:textId="3F903DD7">
      <w:pPr>
        <w:spacing w:after="0" w:line="240" w:lineRule="exact"/>
        <w:rPr>
          <w:rFonts w:eastAsiaTheme="minorEastAsia"/>
          <w:szCs w:val="18"/>
          <w:lang w:val="nl-NL"/>
        </w:rPr>
      </w:pPr>
    </w:p>
    <w:sectPr w:rsidRPr="004A7116" w:rsidR="0063673A">
      <w:footerReference w:type="default" r:id="rId12"/>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4D3E8" w14:textId="77777777" w:rsidR="00216A8F" w:rsidRDefault="00216A8F" w:rsidP="007155D9">
      <w:pPr>
        <w:spacing w:after="0"/>
      </w:pPr>
      <w:r>
        <w:separator/>
      </w:r>
    </w:p>
  </w:endnote>
  <w:endnote w:type="continuationSeparator" w:id="0">
    <w:p w14:paraId="61263B34" w14:textId="77777777" w:rsidR="00216A8F" w:rsidRDefault="00216A8F" w:rsidP="007155D9">
      <w:pPr>
        <w:spacing w:after="0"/>
      </w:pPr>
      <w:r>
        <w:continuationSeparator/>
      </w:r>
    </w:p>
  </w:endnote>
  <w:endnote w:type="continuationNotice" w:id="1">
    <w:p w14:paraId="078B1EFF" w14:textId="77777777" w:rsidR="00216A8F" w:rsidRDefault="00216A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016294"/>
      <w:docPartObj>
        <w:docPartGallery w:val="Page Numbers (Bottom of Page)"/>
        <w:docPartUnique/>
      </w:docPartObj>
    </w:sdtPr>
    <w:sdtContent>
      <w:p w14:paraId="2328785D" w14:textId="635EF985" w:rsidR="006D0059" w:rsidRDefault="006D0059">
        <w:pPr>
          <w:pStyle w:val="Footer"/>
          <w:jc w:val="center"/>
        </w:pPr>
        <w:r>
          <w:fldChar w:fldCharType="begin"/>
        </w:r>
        <w:r>
          <w:instrText>PAGE   \* MERGEFORMAT</w:instrText>
        </w:r>
        <w:r>
          <w:fldChar w:fldCharType="separate"/>
        </w:r>
        <w:r>
          <w:rPr>
            <w:lang w:val="nl-NL"/>
          </w:rPr>
          <w:t>2</w:t>
        </w:r>
        <w:r>
          <w:fldChar w:fldCharType="end"/>
        </w:r>
      </w:p>
    </w:sdtContent>
  </w:sdt>
  <w:p w14:paraId="452379F2" w14:textId="77777777" w:rsidR="00600609" w:rsidRDefault="00600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5B8B7" w14:textId="77777777" w:rsidR="00216A8F" w:rsidRDefault="00216A8F" w:rsidP="007155D9">
      <w:pPr>
        <w:spacing w:after="0"/>
      </w:pPr>
      <w:r>
        <w:separator/>
      </w:r>
    </w:p>
  </w:footnote>
  <w:footnote w:type="continuationSeparator" w:id="0">
    <w:p w14:paraId="20907FDB" w14:textId="77777777" w:rsidR="00216A8F" w:rsidRDefault="00216A8F" w:rsidP="007155D9">
      <w:pPr>
        <w:spacing w:after="0"/>
      </w:pPr>
      <w:r>
        <w:continuationSeparator/>
      </w:r>
    </w:p>
  </w:footnote>
  <w:footnote w:type="continuationNotice" w:id="1">
    <w:p w14:paraId="3DE2438D" w14:textId="77777777" w:rsidR="00216A8F" w:rsidRDefault="00216A8F">
      <w:pPr>
        <w:spacing w:after="0"/>
      </w:pPr>
    </w:p>
  </w:footnote>
  <w:footnote w:id="2">
    <w:p w14:paraId="335F8385" w14:textId="063F63CA" w:rsidR="00B70D23" w:rsidRPr="00CC4906" w:rsidRDefault="00B70D23" w:rsidP="00B70D23">
      <w:pPr>
        <w:pStyle w:val="FootnoteText"/>
        <w:rPr>
          <w:sz w:val="16"/>
          <w:szCs w:val="16"/>
        </w:rPr>
      </w:pPr>
      <w:r w:rsidRPr="00CC4906">
        <w:rPr>
          <w:rStyle w:val="FootnoteReference"/>
          <w:sz w:val="16"/>
          <w:szCs w:val="16"/>
        </w:rPr>
        <w:footnoteRef/>
      </w:r>
      <w:r w:rsidRPr="00CC4906">
        <w:rPr>
          <w:sz w:val="16"/>
          <w:szCs w:val="16"/>
        </w:rPr>
        <w:t xml:space="preserve"> </w:t>
      </w:r>
      <w:hyperlink r:id="rId1" w:history="1">
        <w:r w:rsidR="004F341A" w:rsidRPr="00CC4906">
          <w:rPr>
            <w:rStyle w:val="Hyperlink"/>
            <w:sz w:val="16"/>
            <w:szCs w:val="16"/>
          </w:rPr>
          <w:t>https://ec.europa.eu/transparency/documents-register/detail?ref=COM(2025)5&amp;lang=en</w:t>
        </w:r>
      </w:hyperlink>
      <w:r w:rsidR="004F341A" w:rsidRPr="00CC4906">
        <w:rPr>
          <w:sz w:val="16"/>
          <w:szCs w:val="16"/>
        </w:rPr>
        <w:t xml:space="preserve"> </w:t>
      </w:r>
    </w:p>
  </w:footnote>
  <w:footnote w:id="3">
    <w:p w14:paraId="500047B7" w14:textId="689B413A" w:rsidR="00A43D7E" w:rsidRPr="00880D45" w:rsidRDefault="00A43D7E">
      <w:pPr>
        <w:pStyle w:val="FootnoteText"/>
      </w:pPr>
      <w:r>
        <w:rPr>
          <w:rStyle w:val="FootnoteReference"/>
        </w:rPr>
        <w:footnoteRef/>
      </w:r>
      <w:r w:rsidRPr="00880D45">
        <w:t xml:space="preserve"> </w:t>
      </w:r>
      <w:r w:rsidRPr="00880D45">
        <w:rPr>
          <w:rFonts w:eastAsiaTheme="minorEastAsia"/>
          <w:sz w:val="16"/>
          <w:szCs w:val="14"/>
        </w:rPr>
        <w:t>Kamerstuk 22112, nr. 4088</w:t>
      </w:r>
    </w:p>
  </w:footnote>
  <w:footnote w:id="4">
    <w:p w14:paraId="0AE885C7" w14:textId="7D1A7DC7" w:rsidR="001F76D3" w:rsidRPr="001F76D3" w:rsidRDefault="001F76D3">
      <w:pPr>
        <w:pStyle w:val="FootnoteText"/>
      </w:pPr>
      <w:r w:rsidRPr="00880D45">
        <w:rPr>
          <w:rStyle w:val="FootnoteReference"/>
        </w:rPr>
        <w:footnoteRef/>
      </w:r>
      <w:r w:rsidRPr="00880D45">
        <w:t xml:space="preserve"> </w:t>
      </w:r>
      <w:hyperlink r:id="rId2" w:history="1">
        <w:r w:rsidRPr="00880D45">
          <w:rPr>
            <w:rStyle w:val="Hyperlink"/>
            <w:sz w:val="16"/>
            <w:szCs w:val="16"/>
          </w:rPr>
          <w:t>Draft Directive on certain corporate sustainability reporting and due diligence requirements, Council’s negotiating mandate, 23 June 2025</w:t>
        </w:r>
      </w:hyperlink>
      <w:r w:rsidRPr="00880D45">
        <w:rPr>
          <w:sz w:val="16"/>
          <w:szCs w:val="16"/>
        </w:rPr>
        <w:t>.</w:t>
      </w:r>
    </w:p>
  </w:footnote>
  <w:footnote w:id="5">
    <w:p w14:paraId="2230A24F" w14:textId="5CA7482B" w:rsidR="00AB68B7" w:rsidRPr="00AB68B7" w:rsidRDefault="00AB68B7">
      <w:pPr>
        <w:pStyle w:val="FootnoteText"/>
        <w:rPr>
          <w:lang w:val="nl-NL"/>
        </w:rPr>
      </w:pPr>
      <w:r w:rsidRPr="00331AA6">
        <w:rPr>
          <w:rStyle w:val="FootnoteReference"/>
        </w:rPr>
        <w:footnoteRef/>
      </w:r>
      <w:r w:rsidRPr="00331AA6">
        <w:rPr>
          <w:lang w:val="nl-NL"/>
        </w:rPr>
        <w:t xml:space="preserve"> </w:t>
      </w:r>
      <w:r w:rsidRPr="00331AA6">
        <w:rPr>
          <w:rFonts w:eastAsiaTheme="minorEastAsia"/>
          <w:sz w:val="16"/>
          <w:szCs w:val="14"/>
          <w:lang w:val="nl-NL"/>
        </w:rPr>
        <w:t xml:space="preserve">De OESO-richtlijn voor multinationale ondernemingen inzake maatschappelijk verantwoord ondernemen en de </w:t>
      </w:r>
      <w:r w:rsidRPr="00331AA6">
        <w:rPr>
          <w:rFonts w:eastAsiaTheme="minorEastAsia"/>
          <w:i/>
          <w:iCs/>
          <w:sz w:val="16"/>
          <w:szCs w:val="14"/>
          <w:lang w:val="nl-NL"/>
        </w:rPr>
        <w:t>UN Guiding Principles on Business and Human Rights.</w:t>
      </w:r>
    </w:p>
  </w:footnote>
  <w:footnote w:id="6">
    <w:p w14:paraId="5B27EA97" w14:textId="5669F258" w:rsidR="00E2024D" w:rsidRPr="00FC02AE" w:rsidRDefault="00E2024D">
      <w:pPr>
        <w:pStyle w:val="FootnoteText"/>
        <w:rPr>
          <w:lang w:val="nl-NL"/>
        </w:rPr>
      </w:pPr>
      <w:r w:rsidRPr="00ED558B">
        <w:rPr>
          <w:rStyle w:val="FootnoteReference"/>
          <w:sz w:val="18"/>
          <w:szCs w:val="18"/>
        </w:rPr>
        <w:footnoteRef/>
      </w:r>
      <w:r w:rsidRPr="00FC02AE">
        <w:rPr>
          <w:lang w:val="nl-NL"/>
        </w:rPr>
        <w:t xml:space="preserve"> </w:t>
      </w:r>
      <w:r w:rsidRPr="00557141">
        <w:rPr>
          <w:sz w:val="16"/>
          <w:szCs w:val="14"/>
          <w:lang w:val="nl-NL"/>
        </w:rPr>
        <w:t>Kamerstukken 36712, nr. 2</w:t>
      </w:r>
    </w:p>
  </w:footnote>
  <w:footnote w:id="7">
    <w:p w14:paraId="34B9DFDC" w14:textId="514E81BD" w:rsidR="00C91B6F" w:rsidRPr="001F76D3" w:rsidRDefault="00C91B6F">
      <w:pPr>
        <w:pStyle w:val="FootnoteText"/>
        <w:rPr>
          <w:sz w:val="16"/>
          <w:szCs w:val="16"/>
          <w:lang w:val="nl-NL"/>
        </w:rPr>
      </w:pPr>
      <w:r w:rsidRPr="00356720">
        <w:rPr>
          <w:rStyle w:val="FootnoteReference"/>
          <w:sz w:val="16"/>
          <w:szCs w:val="16"/>
        </w:rPr>
        <w:footnoteRef/>
      </w:r>
      <w:r w:rsidRPr="001F76D3">
        <w:rPr>
          <w:sz w:val="16"/>
          <w:szCs w:val="16"/>
          <w:lang w:val="nl-NL"/>
        </w:rPr>
        <w:t xml:space="preserve"> Art. 7 lid 3 </w:t>
      </w:r>
      <w:hyperlink r:id="rId3" w:history="1">
        <w:r w:rsidR="00F63B2B" w:rsidRPr="001F76D3">
          <w:rPr>
            <w:rStyle w:val="Hyperlink"/>
            <w:sz w:val="16"/>
            <w:szCs w:val="16"/>
            <w:lang w:val="nl-NL"/>
          </w:rPr>
          <w:t>Verordening - 2017/821 - EN - EUR-Lex</w:t>
        </w:r>
      </w:hyperlink>
    </w:p>
  </w:footnote>
  <w:footnote w:id="8">
    <w:p w14:paraId="6FFC6552" w14:textId="343DC873" w:rsidR="00356720" w:rsidRPr="00356720" w:rsidRDefault="00356720">
      <w:pPr>
        <w:pStyle w:val="FootnoteText"/>
        <w:rPr>
          <w:sz w:val="16"/>
          <w:szCs w:val="16"/>
          <w:lang w:val="nl-NL"/>
        </w:rPr>
      </w:pPr>
      <w:r w:rsidRPr="00356720">
        <w:rPr>
          <w:rStyle w:val="FootnoteReference"/>
          <w:sz w:val="16"/>
          <w:szCs w:val="16"/>
        </w:rPr>
        <w:footnoteRef/>
      </w:r>
      <w:r w:rsidRPr="00356720">
        <w:rPr>
          <w:sz w:val="16"/>
          <w:szCs w:val="16"/>
          <w:lang w:val="nl-NL"/>
        </w:rPr>
        <w:t xml:space="preserve"> Art. 17 lid 1 </w:t>
      </w:r>
      <w:hyperlink r:id="rId4" w:history="1">
        <w:r w:rsidRPr="00557141">
          <w:rPr>
            <w:rStyle w:val="Hyperlink"/>
            <w:sz w:val="16"/>
            <w:szCs w:val="16"/>
            <w:lang w:val="nl-NL"/>
          </w:rPr>
          <w:t>Conflictmineralenverordening</w:t>
        </w:r>
      </w:hyperlink>
    </w:p>
  </w:footnote>
  <w:footnote w:id="9">
    <w:p w14:paraId="611590A7" w14:textId="079FC135" w:rsidR="00B17829" w:rsidRPr="00557141" w:rsidRDefault="00B17829">
      <w:pPr>
        <w:pStyle w:val="FootnoteText"/>
        <w:rPr>
          <w:lang w:val="nl-NL"/>
        </w:rPr>
      </w:pPr>
      <w:r w:rsidRPr="00E7528B">
        <w:rPr>
          <w:rStyle w:val="FootnoteReference"/>
          <w:sz w:val="16"/>
          <w:szCs w:val="16"/>
        </w:rPr>
        <w:footnoteRef/>
      </w:r>
      <w:r w:rsidRPr="00E7528B">
        <w:rPr>
          <w:sz w:val="16"/>
          <w:szCs w:val="16"/>
          <w:lang w:val="nl-NL"/>
        </w:rPr>
        <w:t xml:space="preserve"> </w:t>
      </w:r>
      <w:r w:rsidRPr="00E7528B">
        <w:rPr>
          <w:rFonts w:eastAsiaTheme="minorEastAsia"/>
          <w:sz w:val="16"/>
          <w:szCs w:val="16"/>
          <w:lang w:val="nl-NL"/>
        </w:rPr>
        <w:t>Kamerstukken</w:t>
      </w:r>
      <w:r w:rsidRPr="00BC4351">
        <w:rPr>
          <w:rFonts w:eastAsiaTheme="minorEastAsia"/>
          <w:sz w:val="16"/>
          <w:szCs w:val="14"/>
          <w:lang w:val="nl-NL"/>
        </w:rPr>
        <w:t xml:space="preserve"> 29237, nr.</w:t>
      </w:r>
      <w:r w:rsidRPr="00BC4351" w:rsidDel="005B351C">
        <w:rPr>
          <w:rFonts w:eastAsiaTheme="minorEastAsia"/>
          <w:sz w:val="16"/>
          <w:szCs w:val="14"/>
          <w:lang w:val="nl-NL"/>
        </w:rPr>
        <w:t xml:space="preserve"> </w:t>
      </w:r>
      <w:r w:rsidRPr="00BC4351">
        <w:rPr>
          <w:rFonts w:eastAsiaTheme="minorEastAsia"/>
          <w:sz w:val="16"/>
          <w:szCs w:val="14"/>
          <w:lang w:val="nl-NL"/>
        </w:rPr>
        <w:t>220</w:t>
      </w:r>
    </w:p>
  </w:footnote>
  <w:footnote w:id="10">
    <w:p w14:paraId="4025D6E1" w14:textId="2E08F9FC" w:rsidR="00BC4351" w:rsidRPr="00F05534" w:rsidRDefault="00BC4351" w:rsidP="00BC4351">
      <w:pPr>
        <w:pStyle w:val="FootnoteText"/>
        <w:rPr>
          <w:sz w:val="16"/>
          <w:szCs w:val="16"/>
          <w:lang w:val="nl-NL"/>
        </w:rPr>
      </w:pPr>
      <w:r w:rsidRPr="00356720">
        <w:rPr>
          <w:rStyle w:val="FootnoteReference"/>
          <w:sz w:val="16"/>
          <w:szCs w:val="16"/>
        </w:rPr>
        <w:footnoteRef/>
      </w:r>
      <w:r w:rsidRPr="00356720">
        <w:rPr>
          <w:sz w:val="16"/>
          <w:szCs w:val="16"/>
          <w:lang w:val="nl-NL"/>
        </w:rPr>
        <w:t xml:space="preserve"> De regio’s die op die lijst komen wordt bepaald aan de hand van de methodologie zoals beschreven hier: </w:t>
      </w:r>
      <w:hyperlink r:id="rId5" w:history="1">
        <w:r w:rsidR="00441CEA" w:rsidRPr="00B15BD8">
          <w:rPr>
            <w:rStyle w:val="Hyperlink"/>
            <w:sz w:val="16"/>
            <w:szCs w:val="16"/>
            <w:lang w:val="nl-NL"/>
          </w:rPr>
          <w:t>https://www.cahraslist.net/methodology</w:t>
        </w:r>
      </w:hyperlink>
      <w:r w:rsidR="00441CEA">
        <w:rPr>
          <w:sz w:val="16"/>
          <w:szCs w:val="16"/>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5C5"/>
    <w:multiLevelType w:val="hybridMultilevel"/>
    <w:tmpl w:val="3F9CC3A6"/>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4651EEF"/>
    <w:multiLevelType w:val="multilevel"/>
    <w:tmpl w:val="CDC80A5A"/>
    <w:lvl w:ilvl="0">
      <w:start w:val="3"/>
      <w:numFmt w:val="upperLetter"/>
      <w:lvlText w:val="%1."/>
      <w:lvlJc w:val="left"/>
      <w:pPr>
        <w:ind w:left="376" w:hanging="257"/>
      </w:pPr>
      <w:rPr>
        <w:rFonts w:hint="default"/>
        <w:w w:val="99"/>
        <w:u w:val="single" w:color="000000"/>
      </w:rPr>
    </w:lvl>
    <w:lvl w:ilvl="1">
      <w:start w:val="1"/>
      <w:numFmt w:val="decimal"/>
      <w:lvlText w:val="%1.%2"/>
      <w:lvlJc w:val="left"/>
      <w:pPr>
        <w:ind w:left="489" w:hanging="370"/>
      </w:pPr>
      <w:rPr>
        <w:rFonts w:hint="default"/>
        <w:spacing w:val="-1"/>
        <w:w w:val="99"/>
        <w:u w:val="single" w:color="000000"/>
      </w:rPr>
    </w:lvl>
    <w:lvl w:ilvl="2">
      <w:numFmt w:val="bullet"/>
      <w:lvlText w:val="•"/>
      <w:lvlJc w:val="left"/>
      <w:pPr>
        <w:ind w:left="1488" w:hanging="370"/>
      </w:pPr>
      <w:rPr>
        <w:rFonts w:hint="default"/>
      </w:rPr>
    </w:lvl>
    <w:lvl w:ilvl="3">
      <w:numFmt w:val="bullet"/>
      <w:lvlText w:val="•"/>
      <w:lvlJc w:val="left"/>
      <w:pPr>
        <w:ind w:left="2497" w:hanging="370"/>
      </w:pPr>
      <w:rPr>
        <w:rFonts w:hint="default"/>
      </w:rPr>
    </w:lvl>
    <w:lvl w:ilvl="4">
      <w:numFmt w:val="bullet"/>
      <w:lvlText w:val="•"/>
      <w:lvlJc w:val="left"/>
      <w:pPr>
        <w:ind w:left="3506" w:hanging="370"/>
      </w:pPr>
      <w:rPr>
        <w:rFonts w:hint="default"/>
      </w:rPr>
    </w:lvl>
    <w:lvl w:ilvl="5">
      <w:numFmt w:val="bullet"/>
      <w:lvlText w:val="•"/>
      <w:lvlJc w:val="left"/>
      <w:pPr>
        <w:ind w:left="4515" w:hanging="370"/>
      </w:pPr>
      <w:rPr>
        <w:rFonts w:hint="default"/>
      </w:rPr>
    </w:lvl>
    <w:lvl w:ilvl="6">
      <w:numFmt w:val="bullet"/>
      <w:lvlText w:val="•"/>
      <w:lvlJc w:val="left"/>
      <w:pPr>
        <w:ind w:left="5524" w:hanging="370"/>
      </w:pPr>
      <w:rPr>
        <w:rFonts w:hint="default"/>
      </w:rPr>
    </w:lvl>
    <w:lvl w:ilvl="7">
      <w:numFmt w:val="bullet"/>
      <w:lvlText w:val="•"/>
      <w:lvlJc w:val="left"/>
      <w:pPr>
        <w:ind w:left="6533" w:hanging="370"/>
      </w:pPr>
      <w:rPr>
        <w:rFonts w:hint="default"/>
      </w:rPr>
    </w:lvl>
    <w:lvl w:ilvl="8">
      <w:numFmt w:val="bullet"/>
      <w:lvlText w:val="•"/>
      <w:lvlJc w:val="left"/>
      <w:pPr>
        <w:ind w:left="7542" w:hanging="370"/>
      </w:pPr>
      <w:rPr>
        <w:rFonts w:hint="default"/>
      </w:rPr>
    </w:lvl>
  </w:abstractNum>
  <w:abstractNum w:abstractNumId="2" w15:restartNumberingAfterBreak="0">
    <w:nsid w:val="15004FBA"/>
    <w:multiLevelType w:val="hybridMultilevel"/>
    <w:tmpl w:val="CBA03B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AE44AB"/>
    <w:multiLevelType w:val="hybridMultilevel"/>
    <w:tmpl w:val="1138FD1C"/>
    <w:lvl w:ilvl="0" w:tplc="04130001">
      <w:start w:val="1"/>
      <w:numFmt w:val="bullet"/>
      <w:lvlText w:val=""/>
      <w:lvlJc w:val="left"/>
      <w:pPr>
        <w:ind w:left="720" w:hanging="360"/>
      </w:pPr>
      <w:rPr>
        <w:rFonts w:ascii="Symbol" w:hAnsi="Symbol" w:hint="default"/>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2F329A"/>
    <w:multiLevelType w:val="hybridMultilevel"/>
    <w:tmpl w:val="DF88F3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58C508E"/>
    <w:multiLevelType w:val="hybridMultilevel"/>
    <w:tmpl w:val="AB845B4A"/>
    <w:lvl w:ilvl="0" w:tplc="47AC1D8A">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539F40C9"/>
    <w:multiLevelType w:val="hybridMultilevel"/>
    <w:tmpl w:val="002CD766"/>
    <w:lvl w:ilvl="0" w:tplc="13446122">
      <w:start w:val="1"/>
      <w:numFmt w:val="bullet"/>
      <w:lvlText w:val="­"/>
      <w:lvlJc w:val="left"/>
      <w:pPr>
        <w:ind w:left="1428" w:hanging="360"/>
      </w:pPr>
      <w:rPr>
        <w:rFonts w:ascii="Courier New" w:hAnsi="Courier New" w:cs="Times New Roman" w:hint="default"/>
        <w:color w:val="000000"/>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abstractNum w:abstractNumId="7" w15:restartNumberingAfterBreak="0">
    <w:nsid w:val="6C9A2C7D"/>
    <w:multiLevelType w:val="hybridMultilevel"/>
    <w:tmpl w:val="C77C6C5C"/>
    <w:lvl w:ilvl="0" w:tplc="98080E36">
      <w:start w:val="1"/>
      <w:numFmt w:val="bullet"/>
      <w:lvlText w:val=""/>
      <w:lvlJc w:val="left"/>
      <w:pPr>
        <w:ind w:left="708" w:hanging="360"/>
      </w:pPr>
      <w:rPr>
        <w:rFonts w:ascii="Symbol" w:hAnsi="Symbol" w:hint="default"/>
        <w:color w:val="000000"/>
      </w:rPr>
    </w:lvl>
    <w:lvl w:ilvl="1" w:tplc="04130003">
      <w:start w:val="1"/>
      <w:numFmt w:val="bullet"/>
      <w:lvlText w:val="o"/>
      <w:lvlJc w:val="left"/>
      <w:pPr>
        <w:ind w:left="1428" w:hanging="360"/>
      </w:pPr>
      <w:rPr>
        <w:rFonts w:ascii="Courier New" w:hAnsi="Courier New" w:cs="Courier New" w:hint="default"/>
      </w:rPr>
    </w:lvl>
    <w:lvl w:ilvl="2" w:tplc="04130005">
      <w:start w:val="1"/>
      <w:numFmt w:val="bullet"/>
      <w:lvlText w:val=""/>
      <w:lvlJc w:val="left"/>
      <w:pPr>
        <w:ind w:left="2148" w:hanging="360"/>
      </w:pPr>
      <w:rPr>
        <w:rFonts w:ascii="Wingdings" w:hAnsi="Wingdings" w:hint="default"/>
      </w:rPr>
    </w:lvl>
    <w:lvl w:ilvl="3" w:tplc="04130001">
      <w:start w:val="1"/>
      <w:numFmt w:val="bullet"/>
      <w:lvlText w:val=""/>
      <w:lvlJc w:val="left"/>
      <w:pPr>
        <w:ind w:left="2868" w:hanging="360"/>
      </w:pPr>
      <w:rPr>
        <w:rFonts w:ascii="Symbol" w:hAnsi="Symbol" w:hint="default"/>
      </w:rPr>
    </w:lvl>
    <w:lvl w:ilvl="4" w:tplc="04130003">
      <w:start w:val="1"/>
      <w:numFmt w:val="bullet"/>
      <w:lvlText w:val="o"/>
      <w:lvlJc w:val="left"/>
      <w:pPr>
        <w:ind w:left="3588" w:hanging="360"/>
      </w:pPr>
      <w:rPr>
        <w:rFonts w:ascii="Courier New" w:hAnsi="Courier New" w:cs="Courier New" w:hint="default"/>
      </w:rPr>
    </w:lvl>
    <w:lvl w:ilvl="5" w:tplc="04130005">
      <w:start w:val="1"/>
      <w:numFmt w:val="bullet"/>
      <w:lvlText w:val=""/>
      <w:lvlJc w:val="left"/>
      <w:pPr>
        <w:ind w:left="4308" w:hanging="360"/>
      </w:pPr>
      <w:rPr>
        <w:rFonts w:ascii="Wingdings" w:hAnsi="Wingdings" w:hint="default"/>
      </w:rPr>
    </w:lvl>
    <w:lvl w:ilvl="6" w:tplc="04130001">
      <w:start w:val="1"/>
      <w:numFmt w:val="bullet"/>
      <w:lvlText w:val=""/>
      <w:lvlJc w:val="left"/>
      <w:pPr>
        <w:ind w:left="5028" w:hanging="360"/>
      </w:pPr>
      <w:rPr>
        <w:rFonts w:ascii="Symbol" w:hAnsi="Symbol" w:hint="default"/>
      </w:rPr>
    </w:lvl>
    <w:lvl w:ilvl="7" w:tplc="04130003">
      <w:start w:val="1"/>
      <w:numFmt w:val="bullet"/>
      <w:lvlText w:val="o"/>
      <w:lvlJc w:val="left"/>
      <w:pPr>
        <w:ind w:left="5748" w:hanging="360"/>
      </w:pPr>
      <w:rPr>
        <w:rFonts w:ascii="Courier New" w:hAnsi="Courier New" w:cs="Courier New" w:hint="default"/>
      </w:rPr>
    </w:lvl>
    <w:lvl w:ilvl="8" w:tplc="04130005">
      <w:start w:val="1"/>
      <w:numFmt w:val="bullet"/>
      <w:lvlText w:val=""/>
      <w:lvlJc w:val="left"/>
      <w:pPr>
        <w:ind w:left="6468" w:hanging="360"/>
      </w:pPr>
      <w:rPr>
        <w:rFonts w:ascii="Wingdings" w:hAnsi="Wingdings" w:hint="default"/>
      </w:rPr>
    </w:lvl>
  </w:abstractNum>
  <w:abstractNum w:abstractNumId="8" w15:restartNumberingAfterBreak="0">
    <w:nsid w:val="6E2A7DD4"/>
    <w:multiLevelType w:val="hybridMultilevel"/>
    <w:tmpl w:val="39746056"/>
    <w:lvl w:ilvl="0" w:tplc="4B02032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7990570D"/>
    <w:multiLevelType w:val="hybridMultilevel"/>
    <w:tmpl w:val="7CF68F04"/>
    <w:lvl w:ilvl="0" w:tplc="33C8084A">
      <w:start w:val="1"/>
      <w:numFmt w:val="bullet"/>
      <w:lvlText w:val=""/>
      <w:lvlJc w:val="left"/>
      <w:pPr>
        <w:ind w:left="720" w:hanging="360"/>
      </w:pPr>
      <w:rPr>
        <w:rFonts w:ascii="Symbol" w:eastAsia="Calibri" w:hAnsi="Symbol" w:cs="Times New Roman" w:hint="default"/>
        <w:b w:val="0"/>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506482298">
    <w:abstractNumId w:val="7"/>
  </w:num>
  <w:num w:numId="2" w16cid:durableId="1506558062">
    <w:abstractNumId w:val="8"/>
  </w:num>
  <w:num w:numId="3" w16cid:durableId="1395544370">
    <w:abstractNumId w:val="4"/>
  </w:num>
  <w:num w:numId="4" w16cid:durableId="517084334">
    <w:abstractNumId w:val="8"/>
  </w:num>
  <w:num w:numId="5" w16cid:durableId="673074203">
    <w:abstractNumId w:val="9"/>
  </w:num>
  <w:num w:numId="6" w16cid:durableId="1984386059">
    <w:abstractNumId w:val="6"/>
  </w:num>
  <w:num w:numId="7" w16cid:durableId="1650133263">
    <w:abstractNumId w:val="1"/>
  </w:num>
  <w:num w:numId="8" w16cid:durableId="1455949063">
    <w:abstractNumId w:val="3"/>
  </w:num>
  <w:num w:numId="9" w16cid:durableId="402071838">
    <w:abstractNumId w:val="2"/>
  </w:num>
  <w:num w:numId="10" w16cid:durableId="318821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09328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B1"/>
    <w:rsid w:val="000018F6"/>
    <w:rsid w:val="00001B1A"/>
    <w:rsid w:val="0000206C"/>
    <w:rsid w:val="00002551"/>
    <w:rsid w:val="0000368A"/>
    <w:rsid w:val="000044E5"/>
    <w:rsid w:val="00004DAC"/>
    <w:rsid w:val="00005B71"/>
    <w:rsid w:val="00006362"/>
    <w:rsid w:val="00010AF1"/>
    <w:rsid w:val="00010B42"/>
    <w:rsid w:val="00013581"/>
    <w:rsid w:val="00015DC0"/>
    <w:rsid w:val="000225E3"/>
    <w:rsid w:val="000246F6"/>
    <w:rsid w:val="00030C75"/>
    <w:rsid w:val="000325C4"/>
    <w:rsid w:val="00032B7A"/>
    <w:rsid w:val="00033B38"/>
    <w:rsid w:val="00033FCB"/>
    <w:rsid w:val="00034534"/>
    <w:rsid w:val="0003594B"/>
    <w:rsid w:val="000427FE"/>
    <w:rsid w:val="00043977"/>
    <w:rsid w:val="00043B6C"/>
    <w:rsid w:val="00043CEF"/>
    <w:rsid w:val="00044D69"/>
    <w:rsid w:val="00045045"/>
    <w:rsid w:val="000458FA"/>
    <w:rsid w:val="000462F7"/>
    <w:rsid w:val="00051234"/>
    <w:rsid w:val="00052A81"/>
    <w:rsid w:val="0006127A"/>
    <w:rsid w:val="00063158"/>
    <w:rsid w:val="0006348A"/>
    <w:rsid w:val="00064F90"/>
    <w:rsid w:val="00064FB3"/>
    <w:rsid w:val="00070473"/>
    <w:rsid w:val="00075A13"/>
    <w:rsid w:val="00077200"/>
    <w:rsid w:val="00077BD0"/>
    <w:rsid w:val="0008057B"/>
    <w:rsid w:val="00081C01"/>
    <w:rsid w:val="00082FF7"/>
    <w:rsid w:val="00090CC5"/>
    <w:rsid w:val="000956C6"/>
    <w:rsid w:val="00096459"/>
    <w:rsid w:val="00096DC2"/>
    <w:rsid w:val="000A0381"/>
    <w:rsid w:val="000A0FA1"/>
    <w:rsid w:val="000A4F58"/>
    <w:rsid w:val="000A51BE"/>
    <w:rsid w:val="000A67E9"/>
    <w:rsid w:val="000A781B"/>
    <w:rsid w:val="000B19E3"/>
    <w:rsid w:val="000B33CD"/>
    <w:rsid w:val="000B5B1F"/>
    <w:rsid w:val="000B6A08"/>
    <w:rsid w:val="000B71C3"/>
    <w:rsid w:val="000C1A3C"/>
    <w:rsid w:val="000C5B40"/>
    <w:rsid w:val="000D0489"/>
    <w:rsid w:val="000D1F67"/>
    <w:rsid w:val="000D73F6"/>
    <w:rsid w:val="000D7A0E"/>
    <w:rsid w:val="000D7B2A"/>
    <w:rsid w:val="000E11C6"/>
    <w:rsid w:val="000E14FB"/>
    <w:rsid w:val="000E1CE3"/>
    <w:rsid w:val="000E2E5F"/>
    <w:rsid w:val="000E4749"/>
    <w:rsid w:val="000F3DB1"/>
    <w:rsid w:val="000F4C52"/>
    <w:rsid w:val="0010230C"/>
    <w:rsid w:val="0010252F"/>
    <w:rsid w:val="00104143"/>
    <w:rsid w:val="001048D8"/>
    <w:rsid w:val="00105600"/>
    <w:rsid w:val="00106D20"/>
    <w:rsid w:val="00110184"/>
    <w:rsid w:val="001108F9"/>
    <w:rsid w:val="00113222"/>
    <w:rsid w:val="001137B9"/>
    <w:rsid w:val="0011712F"/>
    <w:rsid w:val="00117628"/>
    <w:rsid w:val="001219B1"/>
    <w:rsid w:val="00121E96"/>
    <w:rsid w:val="00122FBE"/>
    <w:rsid w:val="001273DC"/>
    <w:rsid w:val="00130AC5"/>
    <w:rsid w:val="00130D7E"/>
    <w:rsid w:val="00134E9A"/>
    <w:rsid w:val="0013694C"/>
    <w:rsid w:val="00140043"/>
    <w:rsid w:val="00141558"/>
    <w:rsid w:val="00142486"/>
    <w:rsid w:val="001432BF"/>
    <w:rsid w:val="001459E5"/>
    <w:rsid w:val="0014791D"/>
    <w:rsid w:val="00156F8E"/>
    <w:rsid w:val="00162EC0"/>
    <w:rsid w:val="00165FAF"/>
    <w:rsid w:val="00166691"/>
    <w:rsid w:val="001666FC"/>
    <w:rsid w:val="00167064"/>
    <w:rsid w:val="001706B4"/>
    <w:rsid w:val="00170E13"/>
    <w:rsid w:val="0017143C"/>
    <w:rsid w:val="00172E4F"/>
    <w:rsid w:val="00174EA8"/>
    <w:rsid w:val="00180695"/>
    <w:rsid w:val="00180E19"/>
    <w:rsid w:val="001845FC"/>
    <w:rsid w:val="00197EFE"/>
    <w:rsid w:val="001A0650"/>
    <w:rsid w:val="001A1D22"/>
    <w:rsid w:val="001A300D"/>
    <w:rsid w:val="001A31E4"/>
    <w:rsid w:val="001A3E9D"/>
    <w:rsid w:val="001A54DD"/>
    <w:rsid w:val="001B0E7C"/>
    <w:rsid w:val="001B2D71"/>
    <w:rsid w:val="001B4BEB"/>
    <w:rsid w:val="001C50AE"/>
    <w:rsid w:val="001C572E"/>
    <w:rsid w:val="001C6833"/>
    <w:rsid w:val="001C6A12"/>
    <w:rsid w:val="001D1E80"/>
    <w:rsid w:val="001D2EFA"/>
    <w:rsid w:val="001D36E1"/>
    <w:rsid w:val="001D3A48"/>
    <w:rsid w:val="001D4C8C"/>
    <w:rsid w:val="001D794F"/>
    <w:rsid w:val="001D7973"/>
    <w:rsid w:val="001D7993"/>
    <w:rsid w:val="001E28C2"/>
    <w:rsid w:val="001E4968"/>
    <w:rsid w:val="001F2C86"/>
    <w:rsid w:val="001F42A4"/>
    <w:rsid w:val="001F4A5B"/>
    <w:rsid w:val="001F65CF"/>
    <w:rsid w:val="001F76D3"/>
    <w:rsid w:val="00200925"/>
    <w:rsid w:val="0020523F"/>
    <w:rsid w:val="00206171"/>
    <w:rsid w:val="00212CE4"/>
    <w:rsid w:val="00214BDA"/>
    <w:rsid w:val="00215ADA"/>
    <w:rsid w:val="00216A8F"/>
    <w:rsid w:val="00216B7E"/>
    <w:rsid w:val="00217A4D"/>
    <w:rsid w:val="0022049B"/>
    <w:rsid w:val="00221C92"/>
    <w:rsid w:val="00222183"/>
    <w:rsid w:val="00224D89"/>
    <w:rsid w:val="002255B8"/>
    <w:rsid w:val="00226ABC"/>
    <w:rsid w:val="00231F1B"/>
    <w:rsid w:val="002341D1"/>
    <w:rsid w:val="0023459C"/>
    <w:rsid w:val="00234D0F"/>
    <w:rsid w:val="00235CC2"/>
    <w:rsid w:val="002365F0"/>
    <w:rsid w:val="00237F76"/>
    <w:rsid w:val="00240186"/>
    <w:rsid w:val="0024077B"/>
    <w:rsid w:val="002417B9"/>
    <w:rsid w:val="002418C1"/>
    <w:rsid w:val="00242946"/>
    <w:rsid w:val="00246D81"/>
    <w:rsid w:val="00246E19"/>
    <w:rsid w:val="002502F0"/>
    <w:rsid w:val="0025161E"/>
    <w:rsid w:val="00251E5E"/>
    <w:rsid w:val="00252A51"/>
    <w:rsid w:val="00253381"/>
    <w:rsid w:val="002605E8"/>
    <w:rsid w:val="00262FE9"/>
    <w:rsid w:val="002702EF"/>
    <w:rsid w:val="00270C3A"/>
    <w:rsid w:val="00271611"/>
    <w:rsid w:val="00272BA0"/>
    <w:rsid w:val="00273906"/>
    <w:rsid w:val="00274884"/>
    <w:rsid w:val="00274CA2"/>
    <w:rsid w:val="0027517E"/>
    <w:rsid w:val="00275E82"/>
    <w:rsid w:val="002773BB"/>
    <w:rsid w:val="00277BEB"/>
    <w:rsid w:val="00281312"/>
    <w:rsid w:val="00281A1B"/>
    <w:rsid w:val="00282B5C"/>
    <w:rsid w:val="00283FA8"/>
    <w:rsid w:val="00284532"/>
    <w:rsid w:val="0028717D"/>
    <w:rsid w:val="00292B43"/>
    <w:rsid w:val="002934C8"/>
    <w:rsid w:val="00293ABA"/>
    <w:rsid w:val="00294C63"/>
    <w:rsid w:val="00295971"/>
    <w:rsid w:val="00295C10"/>
    <w:rsid w:val="002A12CE"/>
    <w:rsid w:val="002A4E53"/>
    <w:rsid w:val="002A58B1"/>
    <w:rsid w:val="002A63B1"/>
    <w:rsid w:val="002B08A3"/>
    <w:rsid w:val="002B2331"/>
    <w:rsid w:val="002B5C42"/>
    <w:rsid w:val="002B706B"/>
    <w:rsid w:val="002B7B0C"/>
    <w:rsid w:val="002C089E"/>
    <w:rsid w:val="002C139D"/>
    <w:rsid w:val="002C2841"/>
    <w:rsid w:val="002C4B7C"/>
    <w:rsid w:val="002C53F8"/>
    <w:rsid w:val="002C5CBA"/>
    <w:rsid w:val="002C7D1E"/>
    <w:rsid w:val="002D175A"/>
    <w:rsid w:val="002D1BB2"/>
    <w:rsid w:val="002D1C78"/>
    <w:rsid w:val="002D21BC"/>
    <w:rsid w:val="002D2E66"/>
    <w:rsid w:val="002D3AE9"/>
    <w:rsid w:val="002D5CEE"/>
    <w:rsid w:val="002E27F9"/>
    <w:rsid w:val="002E4586"/>
    <w:rsid w:val="002E77AA"/>
    <w:rsid w:val="002F115F"/>
    <w:rsid w:val="002F14E4"/>
    <w:rsid w:val="002F3358"/>
    <w:rsid w:val="002F44B5"/>
    <w:rsid w:val="002F5450"/>
    <w:rsid w:val="002F7130"/>
    <w:rsid w:val="002F71C3"/>
    <w:rsid w:val="002F7E56"/>
    <w:rsid w:val="0030100D"/>
    <w:rsid w:val="0030354E"/>
    <w:rsid w:val="00303BA0"/>
    <w:rsid w:val="003049A4"/>
    <w:rsid w:val="00306D5E"/>
    <w:rsid w:val="0031097A"/>
    <w:rsid w:val="00313B94"/>
    <w:rsid w:val="00314798"/>
    <w:rsid w:val="00314BF0"/>
    <w:rsid w:val="003154EF"/>
    <w:rsid w:val="00321968"/>
    <w:rsid w:val="00322677"/>
    <w:rsid w:val="00326F83"/>
    <w:rsid w:val="00331406"/>
    <w:rsid w:val="00331AA6"/>
    <w:rsid w:val="00333BC4"/>
    <w:rsid w:val="00335B66"/>
    <w:rsid w:val="0033782F"/>
    <w:rsid w:val="00341AB4"/>
    <w:rsid w:val="003437DC"/>
    <w:rsid w:val="00343C9F"/>
    <w:rsid w:val="00350E32"/>
    <w:rsid w:val="00355249"/>
    <w:rsid w:val="00355B45"/>
    <w:rsid w:val="00356720"/>
    <w:rsid w:val="003656FA"/>
    <w:rsid w:val="00366934"/>
    <w:rsid w:val="00371B44"/>
    <w:rsid w:val="0037575F"/>
    <w:rsid w:val="003813C9"/>
    <w:rsid w:val="003829EC"/>
    <w:rsid w:val="00386661"/>
    <w:rsid w:val="0039014E"/>
    <w:rsid w:val="00392332"/>
    <w:rsid w:val="00392C5D"/>
    <w:rsid w:val="00394AC0"/>
    <w:rsid w:val="00397AB2"/>
    <w:rsid w:val="003A0B32"/>
    <w:rsid w:val="003A0FAB"/>
    <w:rsid w:val="003A12BC"/>
    <w:rsid w:val="003A2A16"/>
    <w:rsid w:val="003A5B3E"/>
    <w:rsid w:val="003B15D9"/>
    <w:rsid w:val="003B27F0"/>
    <w:rsid w:val="003B29E7"/>
    <w:rsid w:val="003B394D"/>
    <w:rsid w:val="003B4338"/>
    <w:rsid w:val="003B434E"/>
    <w:rsid w:val="003B4F31"/>
    <w:rsid w:val="003B60A1"/>
    <w:rsid w:val="003B7402"/>
    <w:rsid w:val="003C0C88"/>
    <w:rsid w:val="003C1A03"/>
    <w:rsid w:val="003C1FEF"/>
    <w:rsid w:val="003C205A"/>
    <w:rsid w:val="003C464B"/>
    <w:rsid w:val="003C630B"/>
    <w:rsid w:val="003C6CC7"/>
    <w:rsid w:val="003D0A5A"/>
    <w:rsid w:val="003D6201"/>
    <w:rsid w:val="003D65D8"/>
    <w:rsid w:val="003E2821"/>
    <w:rsid w:val="003E3D7E"/>
    <w:rsid w:val="003E3E99"/>
    <w:rsid w:val="003E5588"/>
    <w:rsid w:val="003E7BD0"/>
    <w:rsid w:val="003F0DDF"/>
    <w:rsid w:val="003F219B"/>
    <w:rsid w:val="003F6D07"/>
    <w:rsid w:val="003F7167"/>
    <w:rsid w:val="0040250A"/>
    <w:rsid w:val="0040291B"/>
    <w:rsid w:val="0040327E"/>
    <w:rsid w:val="00403787"/>
    <w:rsid w:val="00404867"/>
    <w:rsid w:val="004114D3"/>
    <w:rsid w:val="00412D40"/>
    <w:rsid w:val="00422088"/>
    <w:rsid w:val="00423D2E"/>
    <w:rsid w:val="00423DFF"/>
    <w:rsid w:val="00425481"/>
    <w:rsid w:val="00425D22"/>
    <w:rsid w:val="0043060A"/>
    <w:rsid w:val="0043071A"/>
    <w:rsid w:val="00436DC6"/>
    <w:rsid w:val="00437B06"/>
    <w:rsid w:val="00441CEA"/>
    <w:rsid w:val="00442BBC"/>
    <w:rsid w:val="00444389"/>
    <w:rsid w:val="00451CBF"/>
    <w:rsid w:val="0045367B"/>
    <w:rsid w:val="0045746F"/>
    <w:rsid w:val="00461145"/>
    <w:rsid w:val="00461A4D"/>
    <w:rsid w:val="0046245F"/>
    <w:rsid w:val="00465494"/>
    <w:rsid w:val="004662A9"/>
    <w:rsid w:val="0046685A"/>
    <w:rsid w:val="00467676"/>
    <w:rsid w:val="004679C2"/>
    <w:rsid w:val="00467ACB"/>
    <w:rsid w:val="00471977"/>
    <w:rsid w:val="0047218E"/>
    <w:rsid w:val="0047425D"/>
    <w:rsid w:val="0047553B"/>
    <w:rsid w:val="004816CC"/>
    <w:rsid w:val="004831A8"/>
    <w:rsid w:val="004841B6"/>
    <w:rsid w:val="004843F5"/>
    <w:rsid w:val="00485FC5"/>
    <w:rsid w:val="00490A7E"/>
    <w:rsid w:val="00494E47"/>
    <w:rsid w:val="004A0218"/>
    <w:rsid w:val="004A1A99"/>
    <w:rsid w:val="004A2BA7"/>
    <w:rsid w:val="004A3A80"/>
    <w:rsid w:val="004A3A96"/>
    <w:rsid w:val="004A7116"/>
    <w:rsid w:val="004B3059"/>
    <w:rsid w:val="004B34DB"/>
    <w:rsid w:val="004B360C"/>
    <w:rsid w:val="004B389D"/>
    <w:rsid w:val="004B5294"/>
    <w:rsid w:val="004B5A51"/>
    <w:rsid w:val="004B7B06"/>
    <w:rsid w:val="004C1E12"/>
    <w:rsid w:val="004C20E1"/>
    <w:rsid w:val="004C3649"/>
    <w:rsid w:val="004C52BC"/>
    <w:rsid w:val="004C5325"/>
    <w:rsid w:val="004D00EB"/>
    <w:rsid w:val="004D0194"/>
    <w:rsid w:val="004D13E6"/>
    <w:rsid w:val="004D1658"/>
    <w:rsid w:val="004D18B9"/>
    <w:rsid w:val="004D3646"/>
    <w:rsid w:val="004D3BF8"/>
    <w:rsid w:val="004D3D4A"/>
    <w:rsid w:val="004D6A0F"/>
    <w:rsid w:val="004E05D4"/>
    <w:rsid w:val="004E40AD"/>
    <w:rsid w:val="004E467F"/>
    <w:rsid w:val="004E4E32"/>
    <w:rsid w:val="004E59C5"/>
    <w:rsid w:val="004E6664"/>
    <w:rsid w:val="004F0AC7"/>
    <w:rsid w:val="004F341A"/>
    <w:rsid w:val="004F50E5"/>
    <w:rsid w:val="005015A1"/>
    <w:rsid w:val="005016A0"/>
    <w:rsid w:val="005020F8"/>
    <w:rsid w:val="0050491E"/>
    <w:rsid w:val="00504D3C"/>
    <w:rsid w:val="00505761"/>
    <w:rsid w:val="0050589C"/>
    <w:rsid w:val="00512095"/>
    <w:rsid w:val="0051344E"/>
    <w:rsid w:val="005159F0"/>
    <w:rsid w:val="0052489E"/>
    <w:rsid w:val="005248BF"/>
    <w:rsid w:val="00524A01"/>
    <w:rsid w:val="00527E20"/>
    <w:rsid w:val="00527FD8"/>
    <w:rsid w:val="00533C44"/>
    <w:rsid w:val="005352EA"/>
    <w:rsid w:val="00540497"/>
    <w:rsid w:val="00541A9B"/>
    <w:rsid w:val="00542245"/>
    <w:rsid w:val="00543E32"/>
    <w:rsid w:val="005472C5"/>
    <w:rsid w:val="00554C3B"/>
    <w:rsid w:val="00554F95"/>
    <w:rsid w:val="005550E8"/>
    <w:rsid w:val="00557141"/>
    <w:rsid w:val="005572FB"/>
    <w:rsid w:val="00557548"/>
    <w:rsid w:val="00557869"/>
    <w:rsid w:val="00560EC9"/>
    <w:rsid w:val="00561489"/>
    <w:rsid w:val="00562A5A"/>
    <w:rsid w:val="00566ECD"/>
    <w:rsid w:val="00571683"/>
    <w:rsid w:val="00572FE7"/>
    <w:rsid w:val="005733E5"/>
    <w:rsid w:val="0057729A"/>
    <w:rsid w:val="00577DAD"/>
    <w:rsid w:val="00587855"/>
    <w:rsid w:val="00587CAA"/>
    <w:rsid w:val="0059422E"/>
    <w:rsid w:val="00594858"/>
    <w:rsid w:val="005952AE"/>
    <w:rsid w:val="00595FE2"/>
    <w:rsid w:val="0059661E"/>
    <w:rsid w:val="00597CE8"/>
    <w:rsid w:val="005A047E"/>
    <w:rsid w:val="005A1829"/>
    <w:rsid w:val="005A71ED"/>
    <w:rsid w:val="005A7562"/>
    <w:rsid w:val="005A79CA"/>
    <w:rsid w:val="005B034A"/>
    <w:rsid w:val="005B0A58"/>
    <w:rsid w:val="005B351C"/>
    <w:rsid w:val="005B6E29"/>
    <w:rsid w:val="005C1B55"/>
    <w:rsid w:val="005C20EB"/>
    <w:rsid w:val="005C2816"/>
    <w:rsid w:val="005C2E7F"/>
    <w:rsid w:val="005C466E"/>
    <w:rsid w:val="005C66F4"/>
    <w:rsid w:val="005D0EB9"/>
    <w:rsid w:val="005D23C0"/>
    <w:rsid w:val="005D2428"/>
    <w:rsid w:val="005D2E63"/>
    <w:rsid w:val="005D7C39"/>
    <w:rsid w:val="005E06DB"/>
    <w:rsid w:val="005E11CC"/>
    <w:rsid w:val="005E23AE"/>
    <w:rsid w:val="005E2DB0"/>
    <w:rsid w:val="005E3E80"/>
    <w:rsid w:val="005E5498"/>
    <w:rsid w:val="005E5CA2"/>
    <w:rsid w:val="005E6AF0"/>
    <w:rsid w:val="005E76B6"/>
    <w:rsid w:val="005E7BBB"/>
    <w:rsid w:val="005E7BF2"/>
    <w:rsid w:val="005F2FC8"/>
    <w:rsid w:val="005F3B9B"/>
    <w:rsid w:val="005F64E4"/>
    <w:rsid w:val="00600609"/>
    <w:rsid w:val="0060124D"/>
    <w:rsid w:val="0060261C"/>
    <w:rsid w:val="00604810"/>
    <w:rsid w:val="00611A52"/>
    <w:rsid w:val="0061495E"/>
    <w:rsid w:val="006171FA"/>
    <w:rsid w:val="00621DE0"/>
    <w:rsid w:val="00622342"/>
    <w:rsid w:val="00623452"/>
    <w:rsid w:val="00624D1C"/>
    <w:rsid w:val="006265E8"/>
    <w:rsid w:val="006266B9"/>
    <w:rsid w:val="00627FD0"/>
    <w:rsid w:val="00632075"/>
    <w:rsid w:val="00634D95"/>
    <w:rsid w:val="006358B1"/>
    <w:rsid w:val="00636734"/>
    <w:rsid w:val="0063673A"/>
    <w:rsid w:val="006368D7"/>
    <w:rsid w:val="006369C0"/>
    <w:rsid w:val="00645BCA"/>
    <w:rsid w:val="00646564"/>
    <w:rsid w:val="00650823"/>
    <w:rsid w:val="00655895"/>
    <w:rsid w:val="0065783E"/>
    <w:rsid w:val="00663166"/>
    <w:rsid w:val="00663772"/>
    <w:rsid w:val="00666BE1"/>
    <w:rsid w:val="00667E94"/>
    <w:rsid w:val="00671A80"/>
    <w:rsid w:val="00672039"/>
    <w:rsid w:val="006756F8"/>
    <w:rsid w:val="00675C41"/>
    <w:rsid w:val="0067690E"/>
    <w:rsid w:val="00676F8C"/>
    <w:rsid w:val="00680790"/>
    <w:rsid w:val="0068325B"/>
    <w:rsid w:val="006836C5"/>
    <w:rsid w:val="00686CCB"/>
    <w:rsid w:val="00687FB5"/>
    <w:rsid w:val="006908F3"/>
    <w:rsid w:val="006921CF"/>
    <w:rsid w:val="00692E13"/>
    <w:rsid w:val="006942A2"/>
    <w:rsid w:val="00696D4C"/>
    <w:rsid w:val="00697AD4"/>
    <w:rsid w:val="00697E7F"/>
    <w:rsid w:val="006A0A6E"/>
    <w:rsid w:val="006A3217"/>
    <w:rsid w:val="006A367C"/>
    <w:rsid w:val="006A7CA8"/>
    <w:rsid w:val="006B1EDD"/>
    <w:rsid w:val="006B29A5"/>
    <w:rsid w:val="006B2B66"/>
    <w:rsid w:val="006B4F63"/>
    <w:rsid w:val="006B5923"/>
    <w:rsid w:val="006B6007"/>
    <w:rsid w:val="006C20EC"/>
    <w:rsid w:val="006C5A3E"/>
    <w:rsid w:val="006D0059"/>
    <w:rsid w:val="006D033E"/>
    <w:rsid w:val="006D08E5"/>
    <w:rsid w:val="006D11BC"/>
    <w:rsid w:val="006D1871"/>
    <w:rsid w:val="006D2D33"/>
    <w:rsid w:val="006D43E6"/>
    <w:rsid w:val="006D53AD"/>
    <w:rsid w:val="006D5A7F"/>
    <w:rsid w:val="006D6A15"/>
    <w:rsid w:val="006D6B3F"/>
    <w:rsid w:val="006E4710"/>
    <w:rsid w:val="006E4B39"/>
    <w:rsid w:val="006E68A0"/>
    <w:rsid w:val="006E6D18"/>
    <w:rsid w:val="006E78C4"/>
    <w:rsid w:val="006E7D24"/>
    <w:rsid w:val="006F09E1"/>
    <w:rsid w:val="006F0D57"/>
    <w:rsid w:val="006F0D76"/>
    <w:rsid w:val="006F5E9B"/>
    <w:rsid w:val="006F786C"/>
    <w:rsid w:val="007026ED"/>
    <w:rsid w:val="00702F97"/>
    <w:rsid w:val="0070329E"/>
    <w:rsid w:val="0070353F"/>
    <w:rsid w:val="00707E10"/>
    <w:rsid w:val="007112E6"/>
    <w:rsid w:val="00711447"/>
    <w:rsid w:val="00712A69"/>
    <w:rsid w:val="00713774"/>
    <w:rsid w:val="00714B25"/>
    <w:rsid w:val="007155D9"/>
    <w:rsid w:val="0071748D"/>
    <w:rsid w:val="00720395"/>
    <w:rsid w:val="00721926"/>
    <w:rsid w:val="00721F07"/>
    <w:rsid w:val="00722148"/>
    <w:rsid w:val="00722F18"/>
    <w:rsid w:val="00723E87"/>
    <w:rsid w:val="007274C2"/>
    <w:rsid w:val="007402B1"/>
    <w:rsid w:val="00741207"/>
    <w:rsid w:val="0074138F"/>
    <w:rsid w:val="00741707"/>
    <w:rsid w:val="00741913"/>
    <w:rsid w:val="00741D70"/>
    <w:rsid w:val="00742F36"/>
    <w:rsid w:val="00743F89"/>
    <w:rsid w:val="00744E11"/>
    <w:rsid w:val="00747C40"/>
    <w:rsid w:val="00747F7B"/>
    <w:rsid w:val="00753A60"/>
    <w:rsid w:val="007542FB"/>
    <w:rsid w:val="0076008B"/>
    <w:rsid w:val="00760BB5"/>
    <w:rsid w:val="00766B73"/>
    <w:rsid w:val="00771460"/>
    <w:rsid w:val="00772E09"/>
    <w:rsid w:val="007755E1"/>
    <w:rsid w:val="00781995"/>
    <w:rsid w:val="00781D36"/>
    <w:rsid w:val="007829A1"/>
    <w:rsid w:val="0078595C"/>
    <w:rsid w:val="00794EF5"/>
    <w:rsid w:val="007954B0"/>
    <w:rsid w:val="0079633C"/>
    <w:rsid w:val="007972BF"/>
    <w:rsid w:val="007A0D57"/>
    <w:rsid w:val="007A27DB"/>
    <w:rsid w:val="007A4BA7"/>
    <w:rsid w:val="007A605F"/>
    <w:rsid w:val="007A6511"/>
    <w:rsid w:val="007A6A72"/>
    <w:rsid w:val="007B0C1D"/>
    <w:rsid w:val="007B1FC4"/>
    <w:rsid w:val="007B4675"/>
    <w:rsid w:val="007C00F8"/>
    <w:rsid w:val="007C1A2D"/>
    <w:rsid w:val="007C5678"/>
    <w:rsid w:val="007C6901"/>
    <w:rsid w:val="007C726F"/>
    <w:rsid w:val="007C7BA6"/>
    <w:rsid w:val="007D0F3D"/>
    <w:rsid w:val="007D1893"/>
    <w:rsid w:val="007D207C"/>
    <w:rsid w:val="007D3022"/>
    <w:rsid w:val="007D431F"/>
    <w:rsid w:val="007D4A4F"/>
    <w:rsid w:val="007D5279"/>
    <w:rsid w:val="007D6196"/>
    <w:rsid w:val="007E31EC"/>
    <w:rsid w:val="007E7820"/>
    <w:rsid w:val="007F4B44"/>
    <w:rsid w:val="007F64B5"/>
    <w:rsid w:val="007F6CBF"/>
    <w:rsid w:val="0080096C"/>
    <w:rsid w:val="00802B3E"/>
    <w:rsid w:val="00802BC5"/>
    <w:rsid w:val="008034DA"/>
    <w:rsid w:val="00805ED1"/>
    <w:rsid w:val="00812CE0"/>
    <w:rsid w:val="00814BFC"/>
    <w:rsid w:val="00814F81"/>
    <w:rsid w:val="00815F26"/>
    <w:rsid w:val="00816952"/>
    <w:rsid w:val="00817907"/>
    <w:rsid w:val="00820841"/>
    <w:rsid w:val="0082516F"/>
    <w:rsid w:val="008271F8"/>
    <w:rsid w:val="008319B2"/>
    <w:rsid w:val="00831C11"/>
    <w:rsid w:val="00832982"/>
    <w:rsid w:val="00833F09"/>
    <w:rsid w:val="008366AD"/>
    <w:rsid w:val="0084029B"/>
    <w:rsid w:val="00843422"/>
    <w:rsid w:val="00843DC7"/>
    <w:rsid w:val="00843E30"/>
    <w:rsid w:val="00846857"/>
    <w:rsid w:val="0085046F"/>
    <w:rsid w:val="008530EE"/>
    <w:rsid w:val="00853A99"/>
    <w:rsid w:val="00854928"/>
    <w:rsid w:val="00855331"/>
    <w:rsid w:val="00855368"/>
    <w:rsid w:val="00856C56"/>
    <w:rsid w:val="00860D13"/>
    <w:rsid w:val="00863F72"/>
    <w:rsid w:val="008658E0"/>
    <w:rsid w:val="00867FAD"/>
    <w:rsid w:val="008708FA"/>
    <w:rsid w:val="00871CA0"/>
    <w:rsid w:val="00873EC9"/>
    <w:rsid w:val="00875084"/>
    <w:rsid w:val="00880D45"/>
    <w:rsid w:val="008839B8"/>
    <w:rsid w:val="00884B60"/>
    <w:rsid w:val="00885D9A"/>
    <w:rsid w:val="00886C8B"/>
    <w:rsid w:val="008920CE"/>
    <w:rsid w:val="008942D6"/>
    <w:rsid w:val="008949F5"/>
    <w:rsid w:val="00895EC0"/>
    <w:rsid w:val="008964FA"/>
    <w:rsid w:val="00897743"/>
    <w:rsid w:val="008A073F"/>
    <w:rsid w:val="008A1D22"/>
    <w:rsid w:val="008A218D"/>
    <w:rsid w:val="008A2342"/>
    <w:rsid w:val="008A384E"/>
    <w:rsid w:val="008A5CA7"/>
    <w:rsid w:val="008B12BB"/>
    <w:rsid w:val="008B3672"/>
    <w:rsid w:val="008B4C6B"/>
    <w:rsid w:val="008C3A47"/>
    <w:rsid w:val="008C5A4B"/>
    <w:rsid w:val="008C6FAB"/>
    <w:rsid w:val="008C757F"/>
    <w:rsid w:val="008D21EA"/>
    <w:rsid w:val="008D3570"/>
    <w:rsid w:val="008E284A"/>
    <w:rsid w:val="008E3D96"/>
    <w:rsid w:val="008E5E38"/>
    <w:rsid w:val="008E697E"/>
    <w:rsid w:val="008E6D94"/>
    <w:rsid w:val="008E77B0"/>
    <w:rsid w:val="008F1899"/>
    <w:rsid w:val="008F3236"/>
    <w:rsid w:val="008F3EAB"/>
    <w:rsid w:val="008F4EE4"/>
    <w:rsid w:val="008F7044"/>
    <w:rsid w:val="00901553"/>
    <w:rsid w:val="009106AF"/>
    <w:rsid w:val="00913B83"/>
    <w:rsid w:val="00913D11"/>
    <w:rsid w:val="00913EF1"/>
    <w:rsid w:val="00916B55"/>
    <w:rsid w:val="00917D5D"/>
    <w:rsid w:val="00917FE0"/>
    <w:rsid w:val="009256FF"/>
    <w:rsid w:val="00925DF6"/>
    <w:rsid w:val="00931AEA"/>
    <w:rsid w:val="009330C4"/>
    <w:rsid w:val="0093538D"/>
    <w:rsid w:val="00935391"/>
    <w:rsid w:val="0094120A"/>
    <w:rsid w:val="00942D80"/>
    <w:rsid w:val="00943A2F"/>
    <w:rsid w:val="00943B88"/>
    <w:rsid w:val="009446FA"/>
    <w:rsid w:val="009451B4"/>
    <w:rsid w:val="00946F85"/>
    <w:rsid w:val="009516AF"/>
    <w:rsid w:val="00951C4E"/>
    <w:rsid w:val="00952B59"/>
    <w:rsid w:val="009534F5"/>
    <w:rsid w:val="0096130E"/>
    <w:rsid w:val="00962420"/>
    <w:rsid w:val="00965335"/>
    <w:rsid w:val="00965D52"/>
    <w:rsid w:val="00967204"/>
    <w:rsid w:val="00967250"/>
    <w:rsid w:val="0097014B"/>
    <w:rsid w:val="00970F97"/>
    <w:rsid w:val="00971ECD"/>
    <w:rsid w:val="00974383"/>
    <w:rsid w:val="009743D5"/>
    <w:rsid w:val="009744EA"/>
    <w:rsid w:val="00974930"/>
    <w:rsid w:val="00977DF1"/>
    <w:rsid w:val="00980EC9"/>
    <w:rsid w:val="00981775"/>
    <w:rsid w:val="00982B90"/>
    <w:rsid w:val="00982E87"/>
    <w:rsid w:val="009835B7"/>
    <w:rsid w:val="009840E8"/>
    <w:rsid w:val="009842E4"/>
    <w:rsid w:val="00985EA9"/>
    <w:rsid w:val="009872C7"/>
    <w:rsid w:val="009874B2"/>
    <w:rsid w:val="0099388D"/>
    <w:rsid w:val="009949ED"/>
    <w:rsid w:val="009952F2"/>
    <w:rsid w:val="00997FA9"/>
    <w:rsid w:val="009A0190"/>
    <w:rsid w:val="009A376E"/>
    <w:rsid w:val="009A4E41"/>
    <w:rsid w:val="009A5DEB"/>
    <w:rsid w:val="009A61DB"/>
    <w:rsid w:val="009A67C6"/>
    <w:rsid w:val="009A73D2"/>
    <w:rsid w:val="009A7EC3"/>
    <w:rsid w:val="009B189A"/>
    <w:rsid w:val="009B1BD5"/>
    <w:rsid w:val="009B3E8A"/>
    <w:rsid w:val="009B5AD9"/>
    <w:rsid w:val="009B6378"/>
    <w:rsid w:val="009B65A5"/>
    <w:rsid w:val="009B6F62"/>
    <w:rsid w:val="009B72C1"/>
    <w:rsid w:val="009B72F6"/>
    <w:rsid w:val="009B772A"/>
    <w:rsid w:val="009C1714"/>
    <w:rsid w:val="009C1EB1"/>
    <w:rsid w:val="009C22E5"/>
    <w:rsid w:val="009C2D9B"/>
    <w:rsid w:val="009C421D"/>
    <w:rsid w:val="009D1075"/>
    <w:rsid w:val="009D7C1B"/>
    <w:rsid w:val="009E2384"/>
    <w:rsid w:val="009E2C05"/>
    <w:rsid w:val="009E541F"/>
    <w:rsid w:val="009E7488"/>
    <w:rsid w:val="009E780E"/>
    <w:rsid w:val="009E7948"/>
    <w:rsid w:val="009F1381"/>
    <w:rsid w:val="009F2CC0"/>
    <w:rsid w:val="009F4788"/>
    <w:rsid w:val="009F4FF1"/>
    <w:rsid w:val="009F77D7"/>
    <w:rsid w:val="00A0634A"/>
    <w:rsid w:val="00A06AFD"/>
    <w:rsid w:val="00A079A3"/>
    <w:rsid w:val="00A12F6B"/>
    <w:rsid w:val="00A13147"/>
    <w:rsid w:val="00A132ED"/>
    <w:rsid w:val="00A137EA"/>
    <w:rsid w:val="00A148B2"/>
    <w:rsid w:val="00A149F4"/>
    <w:rsid w:val="00A14C9F"/>
    <w:rsid w:val="00A20826"/>
    <w:rsid w:val="00A2342B"/>
    <w:rsid w:val="00A24A15"/>
    <w:rsid w:val="00A250A1"/>
    <w:rsid w:val="00A276AB"/>
    <w:rsid w:val="00A307F2"/>
    <w:rsid w:val="00A33389"/>
    <w:rsid w:val="00A36143"/>
    <w:rsid w:val="00A42342"/>
    <w:rsid w:val="00A42C8B"/>
    <w:rsid w:val="00A43D7E"/>
    <w:rsid w:val="00A45EFF"/>
    <w:rsid w:val="00A46ED3"/>
    <w:rsid w:val="00A51558"/>
    <w:rsid w:val="00A53696"/>
    <w:rsid w:val="00A54EAD"/>
    <w:rsid w:val="00A55BB1"/>
    <w:rsid w:val="00A5669C"/>
    <w:rsid w:val="00A568F9"/>
    <w:rsid w:val="00A57B01"/>
    <w:rsid w:val="00A60B0E"/>
    <w:rsid w:val="00A60FD7"/>
    <w:rsid w:val="00A617FC"/>
    <w:rsid w:val="00A62269"/>
    <w:rsid w:val="00A62907"/>
    <w:rsid w:val="00A6461A"/>
    <w:rsid w:val="00A665D9"/>
    <w:rsid w:val="00A70EB4"/>
    <w:rsid w:val="00A7684A"/>
    <w:rsid w:val="00A80B7D"/>
    <w:rsid w:val="00A83741"/>
    <w:rsid w:val="00A863DD"/>
    <w:rsid w:val="00A86D72"/>
    <w:rsid w:val="00A90237"/>
    <w:rsid w:val="00A91C36"/>
    <w:rsid w:val="00A92406"/>
    <w:rsid w:val="00A93DD6"/>
    <w:rsid w:val="00A942F0"/>
    <w:rsid w:val="00A95B47"/>
    <w:rsid w:val="00A96670"/>
    <w:rsid w:val="00A967AF"/>
    <w:rsid w:val="00A97932"/>
    <w:rsid w:val="00AA04A5"/>
    <w:rsid w:val="00AA12E8"/>
    <w:rsid w:val="00AA5B58"/>
    <w:rsid w:val="00AB09F5"/>
    <w:rsid w:val="00AB1648"/>
    <w:rsid w:val="00AB220B"/>
    <w:rsid w:val="00AB3A83"/>
    <w:rsid w:val="00AB555B"/>
    <w:rsid w:val="00AB6154"/>
    <w:rsid w:val="00AB68B7"/>
    <w:rsid w:val="00AC3133"/>
    <w:rsid w:val="00AC3EAC"/>
    <w:rsid w:val="00AC3F32"/>
    <w:rsid w:val="00AC4722"/>
    <w:rsid w:val="00AC56B4"/>
    <w:rsid w:val="00AC63E1"/>
    <w:rsid w:val="00AD2D85"/>
    <w:rsid w:val="00AD3AC4"/>
    <w:rsid w:val="00AD3EDC"/>
    <w:rsid w:val="00AD4F80"/>
    <w:rsid w:val="00AD7B1B"/>
    <w:rsid w:val="00AE0E84"/>
    <w:rsid w:val="00AE1ADC"/>
    <w:rsid w:val="00AE236D"/>
    <w:rsid w:val="00AE28D6"/>
    <w:rsid w:val="00AE3156"/>
    <w:rsid w:val="00AE3CAA"/>
    <w:rsid w:val="00AE6472"/>
    <w:rsid w:val="00AE7725"/>
    <w:rsid w:val="00AF0630"/>
    <w:rsid w:val="00AF114D"/>
    <w:rsid w:val="00AF32EC"/>
    <w:rsid w:val="00AF37F4"/>
    <w:rsid w:val="00AF398E"/>
    <w:rsid w:val="00AF4138"/>
    <w:rsid w:val="00AF4E7D"/>
    <w:rsid w:val="00AF5F97"/>
    <w:rsid w:val="00AF65AA"/>
    <w:rsid w:val="00B00079"/>
    <w:rsid w:val="00B003B1"/>
    <w:rsid w:val="00B01E96"/>
    <w:rsid w:val="00B0319F"/>
    <w:rsid w:val="00B05CBB"/>
    <w:rsid w:val="00B05D1F"/>
    <w:rsid w:val="00B07C71"/>
    <w:rsid w:val="00B11280"/>
    <w:rsid w:val="00B11C72"/>
    <w:rsid w:val="00B12D15"/>
    <w:rsid w:val="00B15B40"/>
    <w:rsid w:val="00B15B7B"/>
    <w:rsid w:val="00B172A2"/>
    <w:rsid w:val="00B17829"/>
    <w:rsid w:val="00B20057"/>
    <w:rsid w:val="00B220A6"/>
    <w:rsid w:val="00B221A9"/>
    <w:rsid w:val="00B222AB"/>
    <w:rsid w:val="00B23CC3"/>
    <w:rsid w:val="00B23FD0"/>
    <w:rsid w:val="00B30358"/>
    <w:rsid w:val="00B31905"/>
    <w:rsid w:val="00B32F61"/>
    <w:rsid w:val="00B3355B"/>
    <w:rsid w:val="00B36007"/>
    <w:rsid w:val="00B36380"/>
    <w:rsid w:val="00B36943"/>
    <w:rsid w:val="00B40A23"/>
    <w:rsid w:val="00B40C6E"/>
    <w:rsid w:val="00B41C0F"/>
    <w:rsid w:val="00B423AD"/>
    <w:rsid w:val="00B43422"/>
    <w:rsid w:val="00B4576A"/>
    <w:rsid w:val="00B45C87"/>
    <w:rsid w:val="00B45CAE"/>
    <w:rsid w:val="00B45D4F"/>
    <w:rsid w:val="00B46253"/>
    <w:rsid w:val="00B56D3C"/>
    <w:rsid w:val="00B6210F"/>
    <w:rsid w:val="00B6327C"/>
    <w:rsid w:val="00B6766A"/>
    <w:rsid w:val="00B70D23"/>
    <w:rsid w:val="00B7228C"/>
    <w:rsid w:val="00B723E1"/>
    <w:rsid w:val="00B74EB0"/>
    <w:rsid w:val="00B77BE1"/>
    <w:rsid w:val="00B80CCE"/>
    <w:rsid w:val="00B833FE"/>
    <w:rsid w:val="00B847E1"/>
    <w:rsid w:val="00B85813"/>
    <w:rsid w:val="00B858A3"/>
    <w:rsid w:val="00B862BB"/>
    <w:rsid w:val="00B86C4D"/>
    <w:rsid w:val="00B9000B"/>
    <w:rsid w:val="00B910ED"/>
    <w:rsid w:val="00B91DC8"/>
    <w:rsid w:val="00B91F52"/>
    <w:rsid w:val="00B92997"/>
    <w:rsid w:val="00B93BCC"/>
    <w:rsid w:val="00B94B27"/>
    <w:rsid w:val="00B95246"/>
    <w:rsid w:val="00B96B9A"/>
    <w:rsid w:val="00B97252"/>
    <w:rsid w:val="00BA0CD3"/>
    <w:rsid w:val="00BB0637"/>
    <w:rsid w:val="00BB24D0"/>
    <w:rsid w:val="00BB3C4B"/>
    <w:rsid w:val="00BB5621"/>
    <w:rsid w:val="00BB5D10"/>
    <w:rsid w:val="00BB5FC1"/>
    <w:rsid w:val="00BC03D9"/>
    <w:rsid w:val="00BC0809"/>
    <w:rsid w:val="00BC25AC"/>
    <w:rsid w:val="00BC2973"/>
    <w:rsid w:val="00BC4351"/>
    <w:rsid w:val="00BC5F59"/>
    <w:rsid w:val="00BC73BE"/>
    <w:rsid w:val="00BD46F9"/>
    <w:rsid w:val="00BD4FE4"/>
    <w:rsid w:val="00BE082A"/>
    <w:rsid w:val="00BE3823"/>
    <w:rsid w:val="00BE5AD0"/>
    <w:rsid w:val="00BF030D"/>
    <w:rsid w:val="00BF0959"/>
    <w:rsid w:val="00BF12DE"/>
    <w:rsid w:val="00BF1BCD"/>
    <w:rsid w:val="00BF4131"/>
    <w:rsid w:val="00BF7B94"/>
    <w:rsid w:val="00C04BBB"/>
    <w:rsid w:val="00C04C14"/>
    <w:rsid w:val="00C05C2A"/>
    <w:rsid w:val="00C0794F"/>
    <w:rsid w:val="00C10863"/>
    <w:rsid w:val="00C11DDA"/>
    <w:rsid w:val="00C12AF7"/>
    <w:rsid w:val="00C13FE3"/>
    <w:rsid w:val="00C203D5"/>
    <w:rsid w:val="00C209B1"/>
    <w:rsid w:val="00C24C9B"/>
    <w:rsid w:val="00C24DE2"/>
    <w:rsid w:val="00C27A71"/>
    <w:rsid w:val="00C3117A"/>
    <w:rsid w:val="00C33CFD"/>
    <w:rsid w:val="00C34474"/>
    <w:rsid w:val="00C37164"/>
    <w:rsid w:val="00C4055A"/>
    <w:rsid w:val="00C41C95"/>
    <w:rsid w:val="00C427C8"/>
    <w:rsid w:val="00C42F2A"/>
    <w:rsid w:val="00C45469"/>
    <w:rsid w:val="00C47E95"/>
    <w:rsid w:val="00C52222"/>
    <w:rsid w:val="00C528B8"/>
    <w:rsid w:val="00C5545D"/>
    <w:rsid w:val="00C5577F"/>
    <w:rsid w:val="00C60869"/>
    <w:rsid w:val="00C616B0"/>
    <w:rsid w:val="00C61764"/>
    <w:rsid w:val="00C61B91"/>
    <w:rsid w:val="00C62ECA"/>
    <w:rsid w:val="00C666DB"/>
    <w:rsid w:val="00C66B95"/>
    <w:rsid w:val="00C67C8C"/>
    <w:rsid w:val="00C700C1"/>
    <w:rsid w:val="00C70C36"/>
    <w:rsid w:val="00C73D3D"/>
    <w:rsid w:val="00C7415C"/>
    <w:rsid w:val="00C748C8"/>
    <w:rsid w:val="00C76057"/>
    <w:rsid w:val="00C76A06"/>
    <w:rsid w:val="00C770FB"/>
    <w:rsid w:val="00C80A4B"/>
    <w:rsid w:val="00C821DA"/>
    <w:rsid w:val="00C8241A"/>
    <w:rsid w:val="00C825DD"/>
    <w:rsid w:val="00C84294"/>
    <w:rsid w:val="00C8581F"/>
    <w:rsid w:val="00C86095"/>
    <w:rsid w:val="00C866E9"/>
    <w:rsid w:val="00C867CF"/>
    <w:rsid w:val="00C91114"/>
    <w:rsid w:val="00C91137"/>
    <w:rsid w:val="00C914D2"/>
    <w:rsid w:val="00C91B6F"/>
    <w:rsid w:val="00C93209"/>
    <w:rsid w:val="00C93F5D"/>
    <w:rsid w:val="00CA1321"/>
    <w:rsid w:val="00CA39E5"/>
    <w:rsid w:val="00CA3F53"/>
    <w:rsid w:val="00CB0D47"/>
    <w:rsid w:val="00CB1E20"/>
    <w:rsid w:val="00CB375E"/>
    <w:rsid w:val="00CB6346"/>
    <w:rsid w:val="00CB63A0"/>
    <w:rsid w:val="00CC3959"/>
    <w:rsid w:val="00CC48E8"/>
    <w:rsid w:val="00CC4906"/>
    <w:rsid w:val="00CC730E"/>
    <w:rsid w:val="00CD14B9"/>
    <w:rsid w:val="00CD480D"/>
    <w:rsid w:val="00CD4BC8"/>
    <w:rsid w:val="00CD7A33"/>
    <w:rsid w:val="00CE1E36"/>
    <w:rsid w:val="00CE28B6"/>
    <w:rsid w:val="00CE6631"/>
    <w:rsid w:val="00CE70C1"/>
    <w:rsid w:val="00CF09B0"/>
    <w:rsid w:val="00CF12FC"/>
    <w:rsid w:val="00CF1C6D"/>
    <w:rsid w:val="00CF234C"/>
    <w:rsid w:val="00CF3B55"/>
    <w:rsid w:val="00CF6009"/>
    <w:rsid w:val="00D00263"/>
    <w:rsid w:val="00D06D4F"/>
    <w:rsid w:val="00D07588"/>
    <w:rsid w:val="00D10B2B"/>
    <w:rsid w:val="00D11BBC"/>
    <w:rsid w:val="00D123B6"/>
    <w:rsid w:val="00D16303"/>
    <w:rsid w:val="00D168A3"/>
    <w:rsid w:val="00D16CC0"/>
    <w:rsid w:val="00D172A3"/>
    <w:rsid w:val="00D2068A"/>
    <w:rsid w:val="00D20C51"/>
    <w:rsid w:val="00D2127D"/>
    <w:rsid w:val="00D21C34"/>
    <w:rsid w:val="00D26D27"/>
    <w:rsid w:val="00D27D90"/>
    <w:rsid w:val="00D3061B"/>
    <w:rsid w:val="00D309B7"/>
    <w:rsid w:val="00D30D86"/>
    <w:rsid w:val="00D311A8"/>
    <w:rsid w:val="00D32CF9"/>
    <w:rsid w:val="00D41F1E"/>
    <w:rsid w:val="00D437A1"/>
    <w:rsid w:val="00D43AB4"/>
    <w:rsid w:val="00D4648E"/>
    <w:rsid w:val="00D505EF"/>
    <w:rsid w:val="00D50828"/>
    <w:rsid w:val="00D52279"/>
    <w:rsid w:val="00D532A6"/>
    <w:rsid w:val="00D54718"/>
    <w:rsid w:val="00D551B6"/>
    <w:rsid w:val="00D564AB"/>
    <w:rsid w:val="00D575AC"/>
    <w:rsid w:val="00D6154C"/>
    <w:rsid w:val="00D6240F"/>
    <w:rsid w:val="00D63D63"/>
    <w:rsid w:val="00D64236"/>
    <w:rsid w:val="00D7007B"/>
    <w:rsid w:val="00D7144C"/>
    <w:rsid w:val="00D71BEC"/>
    <w:rsid w:val="00D73901"/>
    <w:rsid w:val="00D73C1C"/>
    <w:rsid w:val="00D8024C"/>
    <w:rsid w:val="00D8042E"/>
    <w:rsid w:val="00D81BC1"/>
    <w:rsid w:val="00D835C6"/>
    <w:rsid w:val="00D85CF2"/>
    <w:rsid w:val="00D86AC1"/>
    <w:rsid w:val="00D874EF"/>
    <w:rsid w:val="00D87B7C"/>
    <w:rsid w:val="00D904CC"/>
    <w:rsid w:val="00D933CC"/>
    <w:rsid w:val="00D93AF4"/>
    <w:rsid w:val="00D94AE8"/>
    <w:rsid w:val="00D95601"/>
    <w:rsid w:val="00DA11CD"/>
    <w:rsid w:val="00DA3CFE"/>
    <w:rsid w:val="00DA6EE8"/>
    <w:rsid w:val="00DB066E"/>
    <w:rsid w:val="00DB3C6A"/>
    <w:rsid w:val="00DB536F"/>
    <w:rsid w:val="00DB615F"/>
    <w:rsid w:val="00DB71FD"/>
    <w:rsid w:val="00DC605C"/>
    <w:rsid w:val="00DC6DF9"/>
    <w:rsid w:val="00DC7F50"/>
    <w:rsid w:val="00DD0A2B"/>
    <w:rsid w:val="00DD14A4"/>
    <w:rsid w:val="00DD2B41"/>
    <w:rsid w:val="00DD34AC"/>
    <w:rsid w:val="00DD5890"/>
    <w:rsid w:val="00DD6AE0"/>
    <w:rsid w:val="00DD798E"/>
    <w:rsid w:val="00DE0024"/>
    <w:rsid w:val="00DE0AA4"/>
    <w:rsid w:val="00DE4BF7"/>
    <w:rsid w:val="00DE4C8D"/>
    <w:rsid w:val="00DE520C"/>
    <w:rsid w:val="00DE5BD7"/>
    <w:rsid w:val="00DF0543"/>
    <w:rsid w:val="00DF234A"/>
    <w:rsid w:val="00DF69A5"/>
    <w:rsid w:val="00E02270"/>
    <w:rsid w:val="00E0320D"/>
    <w:rsid w:val="00E03B6A"/>
    <w:rsid w:val="00E0418E"/>
    <w:rsid w:val="00E07523"/>
    <w:rsid w:val="00E07B33"/>
    <w:rsid w:val="00E07F49"/>
    <w:rsid w:val="00E11351"/>
    <w:rsid w:val="00E15142"/>
    <w:rsid w:val="00E15A7B"/>
    <w:rsid w:val="00E2024D"/>
    <w:rsid w:val="00E209A1"/>
    <w:rsid w:val="00E21505"/>
    <w:rsid w:val="00E2322C"/>
    <w:rsid w:val="00E23F1B"/>
    <w:rsid w:val="00E265D8"/>
    <w:rsid w:val="00E26D30"/>
    <w:rsid w:val="00E306A0"/>
    <w:rsid w:val="00E310DA"/>
    <w:rsid w:val="00E32F1F"/>
    <w:rsid w:val="00E33833"/>
    <w:rsid w:val="00E3435A"/>
    <w:rsid w:val="00E36B01"/>
    <w:rsid w:val="00E36F41"/>
    <w:rsid w:val="00E377C8"/>
    <w:rsid w:val="00E44918"/>
    <w:rsid w:val="00E45557"/>
    <w:rsid w:val="00E464B1"/>
    <w:rsid w:val="00E46985"/>
    <w:rsid w:val="00E46B41"/>
    <w:rsid w:val="00E46E83"/>
    <w:rsid w:val="00E47800"/>
    <w:rsid w:val="00E5725A"/>
    <w:rsid w:val="00E60BAB"/>
    <w:rsid w:val="00E61170"/>
    <w:rsid w:val="00E616D5"/>
    <w:rsid w:val="00E61842"/>
    <w:rsid w:val="00E63C83"/>
    <w:rsid w:val="00E63E17"/>
    <w:rsid w:val="00E63E6B"/>
    <w:rsid w:val="00E7528B"/>
    <w:rsid w:val="00E75835"/>
    <w:rsid w:val="00E75F53"/>
    <w:rsid w:val="00E77DC4"/>
    <w:rsid w:val="00E8147B"/>
    <w:rsid w:val="00E819E4"/>
    <w:rsid w:val="00E832B2"/>
    <w:rsid w:val="00E847C6"/>
    <w:rsid w:val="00E933CF"/>
    <w:rsid w:val="00E96D9F"/>
    <w:rsid w:val="00E97A58"/>
    <w:rsid w:val="00E97F4B"/>
    <w:rsid w:val="00EA082F"/>
    <w:rsid w:val="00EA19E9"/>
    <w:rsid w:val="00EA4485"/>
    <w:rsid w:val="00EB062C"/>
    <w:rsid w:val="00EB1A69"/>
    <w:rsid w:val="00EB1F36"/>
    <w:rsid w:val="00EB2344"/>
    <w:rsid w:val="00EB23B5"/>
    <w:rsid w:val="00EB277F"/>
    <w:rsid w:val="00EB5342"/>
    <w:rsid w:val="00EB76A3"/>
    <w:rsid w:val="00EB7CFB"/>
    <w:rsid w:val="00EC06EB"/>
    <w:rsid w:val="00EC0A40"/>
    <w:rsid w:val="00EC1953"/>
    <w:rsid w:val="00EC30C7"/>
    <w:rsid w:val="00EC373A"/>
    <w:rsid w:val="00EC37FF"/>
    <w:rsid w:val="00EC60F0"/>
    <w:rsid w:val="00EC797D"/>
    <w:rsid w:val="00ED5580"/>
    <w:rsid w:val="00ED558B"/>
    <w:rsid w:val="00ED5CC9"/>
    <w:rsid w:val="00ED6B02"/>
    <w:rsid w:val="00EE01E3"/>
    <w:rsid w:val="00EE12BD"/>
    <w:rsid w:val="00EE3861"/>
    <w:rsid w:val="00EE55C1"/>
    <w:rsid w:val="00EF1B0E"/>
    <w:rsid w:val="00EF3618"/>
    <w:rsid w:val="00EF3A0A"/>
    <w:rsid w:val="00EF4FEF"/>
    <w:rsid w:val="00EF793F"/>
    <w:rsid w:val="00EF7ABA"/>
    <w:rsid w:val="00F0390B"/>
    <w:rsid w:val="00F0435F"/>
    <w:rsid w:val="00F05534"/>
    <w:rsid w:val="00F05C86"/>
    <w:rsid w:val="00F06218"/>
    <w:rsid w:val="00F07376"/>
    <w:rsid w:val="00F07839"/>
    <w:rsid w:val="00F10D38"/>
    <w:rsid w:val="00F10DF7"/>
    <w:rsid w:val="00F10E2B"/>
    <w:rsid w:val="00F10FFC"/>
    <w:rsid w:val="00F11378"/>
    <w:rsid w:val="00F11F33"/>
    <w:rsid w:val="00F13BC4"/>
    <w:rsid w:val="00F15CB7"/>
    <w:rsid w:val="00F21BE8"/>
    <w:rsid w:val="00F2509C"/>
    <w:rsid w:val="00F26C88"/>
    <w:rsid w:val="00F26CCD"/>
    <w:rsid w:val="00F27E16"/>
    <w:rsid w:val="00F35767"/>
    <w:rsid w:val="00F36F15"/>
    <w:rsid w:val="00F376CB"/>
    <w:rsid w:val="00F41E69"/>
    <w:rsid w:val="00F4264E"/>
    <w:rsid w:val="00F43028"/>
    <w:rsid w:val="00F430C0"/>
    <w:rsid w:val="00F43709"/>
    <w:rsid w:val="00F458C4"/>
    <w:rsid w:val="00F4658F"/>
    <w:rsid w:val="00F46A7E"/>
    <w:rsid w:val="00F51D9C"/>
    <w:rsid w:val="00F5287D"/>
    <w:rsid w:val="00F52F40"/>
    <w:rsid w:val="00F535D5"/>
    <w:rsid w:val="00F56305"/>
    <w:rsid w:val="00F61966"/>
    <w:rsid w:val="00F61A72"/>
    <w:rsid w:val="00F6323E"/>
    <w:rsid w:val="00F63B2B"/>
    <w:rsid w:val="00F67498"/>
    <w:rsid w:val="00F70113"/>
    <w:rsid w:val="00F702B2"/>
    <w:rsid w:val="00F70B7D"/>
    <w:rsid w:val="00F70C1B"/>
    <w:rsid w:val="00F71C5E"/>
    <w:rsid w:val="00F7230C"/>
    <w:rsid w:val="00F72C9F"/>
    <w:rsid w:val="00F73784"/>
    <w:rsid w:val="00F73BC8"/>
    <w:rsid w:val="00F74327"/>
    <w:rsid w:val="00F743AC"/>
    <w:rsid w:val="00F74D81"/>
    <w:rsid w:val="00F74E35"/>
    <w:rsid w:val="00F7596C"/>
    <w:rsid w:val="00F75ADE"/>
    <w:rsid w:val="00F76D3E"/>
    <w:rsid w:val="00F8138C"/>
    <w:rsid w:val="00F8335F"/>
    <w:rsid w:val="00F84822"/>
    <w:rsid w:val="00F849F4"/>
    <w:rsid w:val="00F85DC8"/>
    <w:rsid w:val="00F90030"/>
    <w:rsid w:val="00F92C24"/>
    <w:rsid w:val="00F96077"/>
    <w:rsid w:val="00F965C4"/>
    <w:rsid w:val="00F97A11"/>
    <w:rsid w:val="00FA1FC6"/>
    <w:rsid w:val="00FA4F68"/>
    <w:rsid w:val="00FA50C8"/>
    <w:rsid w:val="00FA51EC"/>
    <w:rsid w:val="00FA6428"/>
    <w:rsid w:val="00FA69EF"/>
    <w:rsid w:val="00FA70BA"/>
    <w:rsid w:val="00FA70BF"/>
    <w:rsid w:val="00FB17FF"/>
    <w:rsid w:val="00FB4703"/>
    <w:rsid w:val="00FB6F60"/>
    <w:rsid w:val="00FC02AE"/>
    <w:rsid w:val="00FC0DFC"/>
    <w:rsid w:val="00FC2005"/>
    <w:rsid w:val="00FC23F4"/>
    <w:rsid w:val="00FC3B5C"/>
    <w:rsid w:val="00FC686B"/>
    <w:rsid w:val="00FC70CA"/>
    <w:rsid w:val="00FD09E5"/>
    <w:rsid w:val="00FD1333"/>
    <w:rsid w:val="00FD14B8"/>
    <w:rsid w:val="00FD38E6"/>
    <w:rsid w:val="00FD4CBE"/>
    <w:rsid w:val="00FE3059"/>
    <w:rsid w:val="00FE633F"/>
    <w:rsid w:val="00FE7388"/>
    <w:rsid w:val="00FE7583"/>
    <w:rsid w:val="00FE77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C1E10427-D6E7-458B-9367-93088A91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7972BF"/>
    <w:pPr>
      <w:spacing w:after="0"/>
      <w:ind w:left="720"/>
    </w:pPr>
    <w:rPr>
      <w:rFonts w:ascii="Calibri" w:eastAsiaTheme="minorHAnsi" w:hAnsi="Calibri" w:cs="Calibri"/>
      <w:sz w:val="22"/>
      <w:lang w:val="nl-NL" w:eastAsia="nl-NL"/>
    </w:rPr>
  </w:style>
  <w:style w:type="paragraph" w:styleId="FootnoteText">
    <w:name w:val="footnote text"/>
    <w:basedOn w:val="Normal"/>
    <w:link w:val="FootnoteTextChar"/>
    <w:uiPriority w:val="99"/>
    <w:unhideWhenUsed/>
    <w:rsid w:val="007155D9"/>
    <w:pPr>
      <w:spacing w:after="0"/>
    </w:pPr>
    <w:rPr>
      <w:sz w:val="20"/>
      <w:szCs w:val="20"/>
    </w:rPr>
  </w:style>
  <w:style w:type="character" w:customStyle="1" w:styleId="FootnoteTextChar">
    <w:name w:val="Footnote Text Char"/>
    <w:basedOn w:val="DefaultParagraphFont"/>
    <w:link w:val="FootnoteText"/>
    <w:uiPriority w:val="99"/>
    <w:rsid w:val="007155D9"/>
    <w:rPr>
      <w:sz w:val="20"/>
      <w:szCs w:val="20"/>
    </w:rPr>
  </w:style>
  <w:style w:type="character" w:styleId="FootnoteReference">
    <w:name w:val="footnote reference"/>
    <w:basedOn w:val="DefaultParagraphFont"/>
    <w:uiPriority w:val="99"/>
    <w:semiHidden/>
    <w:unhideWhenUsed/>
    <w:rsid w:val="007155D9"/>
    <w:rPr>
      <w:vertAlign w:val="superscript"/>
    </w:rPr>
  </w:style>
  <w:style w:type="character" w:styleId="CommentReference">
    <w:name w:val="annotation reference"/>
    <w:basedOn w:val="DefaultParagraphFont"/>
    <w:uiPriority w:val="99"/>
    <w:semiHidden/>
    <w:unhideWhenUsed/>
    <w:rsid w:val="00A53696"/>
    <w:rPr>
      <w:sz w:val="16"/>
      <w:szCs w:val="16"/>
    </w:rPr>
  </w:style>
  <w:style w:type="paragraph" w:styleId="CommentText">
    <w:name w:val="annotation text"/>
    <w:basedOn w:val="Normal"/>
    <w:link w:val="CommentTextChar"/>
    <w:uiPriority w:val="99"/>
    <w:unhideWhenUsed/>
    <w:rsid w:val="00A53696"/>
    <w:rPr>
      <w:sz w:val="20"/>
      <w:szCs w:val="20"/>
    </w:rPr>
  </w:style>
  <w:style w:type="character" w:customStyle="1" w:styleId="CommentTextChar">
    <w:name w:val="Comment Text Char"/>
    <w:basedOn w:val="DefaultParagraphFont"/>
    <w:link w:val="CommentText"/>
    <w:uiPriority w:val="99"/>
    <w:rsid w:val="00A53696"/>
    <w:rPr>
      <w:sz w:val="20"/>
      <w:szCs w:val="20"/>
    </w:rPr>
  </w:style>
  <w:style w:type="paragraph" w:styleId="CommentSubject">
    <w:name w:val="annotation subject"/>
    <w:basedOn w:val="CommentText"/>
    <w:next w:val="CommentText"/>
    <w:link w:val="CommentSubjectChar"/>
    <w:uiPriority w:val="99"/>
    <w:semiHidden/>
    <w:unhideWhenUsed/>
    <w:rsid w:val="00A53696"/>
    <w:rPr>
      <w:b/>
      <w:bCs/>
    </w:rPr>
  </w:style>
  <w:style w:type="character" w:customStyle="1" w:styleId="CommentSubjectChar">
    <w:name w:val="Comment Subject Char"/>
    <w:basedOn w:val="CommentTextChar"/>
    <w:link w:val="CommentSubject"/>
    <w:uiPriority w:val="99"/>
    <w:semiHidden/>
    <w:rsid w:val="00A53696"/>
    <w:rPr>
      <w:b/>
      <w:bCs/>
      <w:sz w:val="20"/>
      <w:szCs w:val="20"/>
    </w:rPr>
  </w:style>
  <w:style w:type="paragraph" w:styleId="Header">
    <w:name w:val="header"/>
    <w:basedOn w:val="Normal"/>
    <w:link w:val="HeaderChar"/>
    <w:uiPriority w:val="99"/>
    <w:unhideWhenUsed/>
    <w:rsid w:val="00B00079"/>
    <w:pPr>
      <w:tabs>
        <w:tab w:val="center" w:pos="4513"/>
        <w:tab w:val="right" w:pos="9026"/>
      </w:tabs>
      <w:spacing w:after="0"/>
    </w:pPr>
  </w:style>
  <w:style w:type="character" w:customStyle="1" w:styleId="HeaderChar">
    <w:name w:val="Header Char"/>
    <w:basedOn w:val="DefaultParagraphFont"/>
    <w:link w:val="Header"/>
    <w:uiPriority w:val="99"/>
    <w:rsid w:val="00B00079"/>
  </w:style>
  <w:style w:type="paragraph" w:styleId="Footer">
    <w:name w:val="footer"/>
    <w:basedOn w:val="Normal"/>
    <w:link w:val="FooterChar"/>
    <w:uiPriority w:val="99"/>
    <w:unhideWhenUsed/>
    <w:rsid w:val="00B00079"/>
    <w:pPr>
      <w:tabs>
        <w:tab w:val="center" w:pos="4513"/>
        <w:tab w:val="right" w:pos="9026"/>
      </w:tabs>
      <w:spacing w:after="0"/>
    </w:pPr>
  </w:style>
  <w:style w:type="character" w:customStyle="1" w:styleId="FooterChar">
    <w:name w:val="Footer Char"/>
    <w:basedOn w:val="DefaultParagraphFont"/>
    <w:link w:val="Footer"/>
    <w:uiPriority w:val="99"/>
    <w:rsid w:val="00B00079"/>
  </w:style>
  <w:style w:type="character" w:styleId="Hyperlink">
    <w:name w:val="Hyperlink"/>
    <w:basedOn w:val="DefaultParagraphFont"/>
    <w:uiPriority w:val="99"/>
    <w:unhideWhenUsed/>
    <w:rsid w:val="00F52F40"/>
    <w:rPr>
      <w:color w:val="0000FF" w:themeColor="hyperlink"/>
      <w:u w:val="single"/>
    </w:rPr>
  </w:style>
  <w:style w:type="paragraph" w:styleId="NormalWeb">
    <w:name w:val="Normal (Web)"/>
    <w:basedOn w:val="Normal"/>
    <w:uiPriority w:val="99"/>
    <w:unhideWhenUsed/>
    <w:rsid w:val="009446FA"/>
    <w:pPr>
      <w:spacing w:before="100" w:beforeAutospacing="1" w:after="100" w:afterAutospacing="1"/>
    </w:pPr>
    <w:rPr>
      <w:rFonts w:ascii="Times New Roman" w:eastAsiaTheme="minorHAnsi" w:hAnsi="Times New Roman" w:cs="Times New Roman"/>
      <w:sz w:val="24"/>
      <w:szCs w:val="24"/>
      <w:lang w:val="nl-NL" w:eastAsia="nl-NL"/>
    </w:rPr>
  </w:style>
  <w:style w:type="paragraph" w:styleId="Revision">
    <w:name w:val="Revision"/>
    <w:hidden/>
    <w:uiPriority w:val="99"/>
    <w:semiHidden/>
    <w:rsid w:val="00C67C8C"/>
    <w:pPr>
      <w:spacing w:after="0"/>
    </w:pPr>
  </w:style>
  <w:style w:type="paragraph" w:styleId="NoSpacing">
    <w:name w:val="No Spacing"/>
    <w:uiPriority w:val="1"/>
    <w:qFormat/>
    <w:rsid w:val="00EB5342"/>
    <w:pPr>
      <w:spacing w:after="0"/>
    </w:pPr>
  </w:style>
  <w:style w:type="character" w:styleId="FollowedHyperlink">
    <w:name w:val="FollowedHyperlink"/>
    <w:basedOn w:val="DefaultParagraphFont"/>
    <w:uiPriority w:val="99"/>
    <w:semiHidden/>
    <w:unhideWhenUsed/>
    <w:rsid w:val="00DD5890"/>
    <w:rPr>
      <w:color w:val="800080" w:themeColor="followedHyperlink"/>
      <w:u w:val="single"/>
    </w:rPr>
  </w:style>
  <w:style w:type="paragraph" w:styleId="BodyText">
    <w:name w:val="Body Text"/>
    <w:basedOn w:val="Normal"/>
    <w:link w:val="BodyTextChar"/>
    <w:uiPriority w:val="1"/>
    <w:qFormat/>
    <w:rsid w:val="009835B7"/>
    <w:pPr>
      <w:widowControl w:val="0"/>
      <w:autoSpaceDE w:val="0"/>
      <w:autoSpaceDN w:val="0"/>
      <w:spacing w:after="0"/>
    </w:pPr>
    <w:rPr>
      <w:rFonts w:eastAsia="Verdana" w:cs="Verdana"/>
      <w:szCs w:val="18"/>
    </w:rPr>
  </w:style>
  <w:style w:type="character" w:customStyle="1" w:styleId="BodyTextChar">
    <w:name w:val="Body Text Char"/>
    <w:basedOn w:val="DefaultParagraphFont"/>
    <w:link w:val="BodyText"/>
    <w:uiPriority w:val="1"/>
    <w:rsid w:val="009835B7"/>
    <w:rPr>
      <w:rFonts w:eastAsia="Verdana" w:cs="Verdana"/>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E63C83"/>
    <w:rPr>
      <w:rFonts w:ascii="Calibri" w:eastAsiaTheme="minorHAnsi" w:hAnsi="Calibri" w:cs="Calibri"/>
      <w:sz w:val="22"/>
      <w:lang w:val="nl-NL" w:eastAsia="nl-NL"/>
    </w:rPr>
  </w:style>
  <w:style w:type="table" w:styleId="TableGrid">
    <w:name w:val="Table Grid"/>
    <w:basedOn w:val="TableNormal"/>
    <w:uiPriority w:val="59"/>
    <w:rsid w:val="00EA19E9"/>
    <w:pPr>
      <w:spacing w:after="0"/>
    </w:pPr>
    <w:rPr>
      <w:rFonts w:asciiTheme="minorHAnsi" w:hAnsiTheme="minorHAnsi" w:cs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4120A"/>
    <w:rPr>
      <w:b/>
      <w:bCs/>
    </w:rPr>
  </w:style>
  <w:style w:type="character" w:styleId="Emphasis">
    <w:name w:val="Emphasis"/>
    <w:basedOn w:val="DefaultParagraphFont"/>
    <w:uiPriority w:val="20"/>
    <w:qFormat/>
    <w:rsid w:val="0094120A"/>
    <w:rPr>
      <w:i/>
      <w:iCs/>
    </w:rPr>
  </w:style>
  <w:style w:type="paragraph" w:customStyle="1" w:styleId="Default">
    <w:name w:val="Default"/>
    <w:rsid w:val="00692E13"/>
    <w:pPr>
      <w:autoSpaceDE w:val="0"/>
      <w:autoSpaceDN w:val="0"/>
      <w:adjustRightInd w:val="0"/>
      <w:spacing w:after="0"/>
    </w:pPr>
    <w:rPr>
      <w:rFonts w:cs="Verdana"/>
      <w:color w:val="000000"/>
      <w:sz w:val="24"/>
      <w:szCs w:val="24"/>
      <w:lang w:val="nl-NL"/>
    </w:rPr>
  </w:style>
  <w:style w:type="character" w:styleId="UnresolvedMention">
    <w:name w:val="Unresolved Mention"/>
    <w:basedOn w:val="DefaultParagraphFont"/>
    <w:uiPriority w:val="99"/>
    <w:semiHidden/>
    <w:unhideWhenUsed/>
    <w:rsid w:val="004F3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83771">
      <w:bodyDiv w:val="1"/>
      <w:marLeft w:val="0"/>
      <w:marRight w:val="0"/>
      <w:marTop w:val="0"/>
      <w:marBottom w:val="0"/>
      <w:divBdr>
        <w:top w:val="none" w:sz="0" w:space="0" w:color="auto"/>
        <w:left w:val="none" w:sz="0" w:space="0" w:color="auto"/>
        <w:bottom w:val="none" w:sz="0" w:space="0" w:color="auto"/>
        <w:right w:val="none" w:sz="0" w:space="0" w:color="auto"/>
      </w:divBdr>
    </w:div>
    <w:div w:id="38168709">
      <w:bodyDiv w:val="1"/>
      <w:marLeft w:val="0"/>
      <w:marRight w:val="0"/>
      <w:marTop w:val="0"/>
      <w:marBottom w:val="0"/>
      <w:divBdr>
        <w:top w:val="none" w:sz="0" w:space="0" w:color="auto"/>
        <w:left w:val="none" w:sz="0" w:space="0" w:color="auto"/>
        <w:bottom w:val="none" w:sz="0" w:space="0" w:color="auto"/>
        <w:right w:val="none" w:sz="0" w:space="0" w:color="auto"/>
      </w:divBdr>
    </w:div>
    <w:div w:id="216478172">
      <w:bodyDiv w:val="1"/>
      <w:marLeft w:val="0"/>
      <w:marRight w:val="0"/>
      <w:marTop w:val="0"/>
      <w:marBottom w:val="0"/>
      <w:divBdr>
        <w:top w:val="none" w:sz="0" w:space="0" w:color="auto"/>
        <w:left w:val="none" w:sz="0" w:space="0" w:color="auto"/>
        <w:bottom w:val="none" w:sz="0" w:space="0" w:color="auto"/>
        <w:right w:val="none" w:sz="0" w:space="0" w:color="auto"/>
      </w:divBdr>
    </w:div>
    <w:div w:id="239100190">
      <w:bodyDiv w:val="1"/>
      <w:marLeft w:val="0"/>
      <w:marRight w:val="0"/>
      <w:marTop w:val="0"/>
      <w:marBottom w:val="0"/>
      <w:divBdr>
        <w:top w:val="none" w:sz="0" w:space="0" w:color="auto"/>
        <w:left w:val="none" w:sz="0" w:space="0" w:color="auto"/>
        <w:bottom w:val="none" w:sz="0" w:space="0" w:color="auto"/>
        <w:right w:val="none" w:sz="0" w:space="0" w:color="auto"/>
      </w:divBdr>
    </w:div>
    <w:div w:id="262301603">
      <w:bodyDiv w:val="1"/>
      <w:marLeft w:val="0"/>
      <w:marRight w:val="0"/>
      <w:marTop w:val="0"/>
      <w:marBottom w:val="0"/>
      <w:divBdr>
        <w:top w:val="none" w:sz="0" w:space="0" w:color="auto"/>
        <w:left w:val="none" w:sz="0" w:space="0" w:color="auto"/>
        <w:bottom w:val="none" w:sz="0" w:space="0" w:color="auto"/>
        <w:right w:val="none" w:sz="0" w:space="0" w:color="auto"/>
      </w:divBdr>
    </w:div>
    <w:div w:id="320547848">
      <w:bodyDiv w:val="1"/>
      <w:marLeft w:val="0"/>
      <w:marRight w:val="0"/>
      <w:marTop w:val="0"/>
      <w:marBottom w:val="0"/>
      <w:divBdr>
        <w:top w:val="none" w:sz="0" w:space="0" w:color="auto"/>
        <w:left w:val="none" w:sz="0" w:space="0" w:color="auto"/>
        <w:bottom w:val="none" w:sz="0" w:space="0" w:color="auto"/>
        <w:right w:val="none" w:sz="0" w:space="0" w:color="auto"/>
      </w:divBdr>
    </w:div>
    <w:div w:id="321086057">
      <w:bodyDiv w:val="1"/>
      <w:marLeft w:val="0"/>
      <w:marRight w:val="0"/>
      <w:marTop w:val="0"/>
      <w:marBottom w:val="0"/>
      <w:divBdr>
        <w:top w:val="none" w:sz="0" w:space="0" w:color="auto"/>
        <w:left w:val="none" w:sz="0" w:space="0" w:color="auto"/>
        <w:bottom w:val="none" w:sz="0" w:space="0" w:color="auto"/>
        <w:right w:val="none" w:sz="0" w:space="0" w:color="auto"/>
      </w:divBdr>
    </w:div>
    <w:div w:id="441536672">
      <w:bodyDiv w:val="1"/>
      <w:marLeft w:val="0"/>
      <w:marRight w:val="0"/>
      <w:marTop w:val="0"/>
      <w:marBottom w:val="0"/>
      <w:divBdr>
        <w:top w:val="none" w:sz="0" w:space="0" w:color="auto"/>
        <w:left w:val="none" w:sz="0" w:space="0" w:color="auto"/>
        <w:bottom w:val="none" w:sz="0" w:space="0" w:color="auto"/>
        <w:right w:val="none" w:sz="0" w:space="0" w:color="auto"/>
      </w:divBdr>
    </w:div>
    <w:div w:id="451286356">
      <w:bodyDiv w:val="1"/>
      <w:marLeft w:val="0"/>
      <w:marRight w:val="0"/>
      <w:marTop w:val="0"/>
      <w:marBottom w:val="0"/>
      <w:divBdr>
        <w:top w:val="none" w:sz="0" w:space="0" w:color="auto"/>
        <w:left w:val="none" w:sz="0" w:space="0" w:color="auto"/>
        <w:bottom w:val="none" w:sz="0" w:space="0" w:color="auto"/>
        <w:right w:val="none" w:sz="0" w:space="0" w:color="auto"/>
      </w:divBdr>
    </w:div>
    <w:div w:id="478571298">
      <w:bodyDiv w:val="1"/>
      <w:marLeft w:val="0"/>
      <w:marRight w:val="0"/>
      <w:marTop w:val="0"/>
      <w:marBottom w:val="0"/>
      <w:divBdr>
        <w:top w:val="none" w:sz="0" w:space="0" w:color="auto"/>
        <w:left w:val="none" w:sz="0" w:space="0" w:color="auto"/>
        <w:bottom w:val="none" w:sz="0" w:space="0" w:color="auto"/>
        <w:right w:val="none" w:sz="0" w:space="0" w:color="auto"/>
      </w:divBdr>
    </w:div>
    <w:div w:id="510410623">
      <w:bodyDiv w:val="1"/>
      <w:marLeft w:val="0"/>
      <w:marRight w:val="0"/>
      <w:marTop w:val="0"/>
      <w:marBottom w:val="0"/>
      <w:divBdr>
        <w:top w:val="none" w:sz="0" w:space="0" w:color="auto"/>
        <w:left w:val="none" w:sz="0" w:space="0" w:color="auto"/>
        <w:bottom w:val="none" w:sz="0" w:space="0" w:color="auto"/>
        <w:right w:val="none" w:sz="0" w:space="0" w:color="auto"/>
      </w:divBdr>
    </w:div>
    <w:div w:id="534001610">
      <w:bodyDiv w:val="1"/>
      <w:marLeft w:val="0"/>
      <w:marRight w:val="0"/>
      <w:marTop w:val="0"/>
      <w:marBottom w:val="0"/>
      <w:divBdr>
        <w:top w:val="none" w:sz="0" w:space="0" w:color="auto"/>
        <w:left w:val="none" w:sz="0" w:space="0" w:color="auto"/>
        <w:bottom w:val="none" w:sz="0" w:space="0" w:color="auto"/>
        <w:right w:val="none" w:sz="0" w:space="0" w:color="auto"/>
      </w:divBdr>
    </w:div>
    <w:div w:id="712071954">
      <w:bodyDiv w:val="1"/>
      <w:marLeft w:val="0"/>
      <w:marRight w:val="0"/>
      <w:marTop w:val="0"/>
      <w:marBottom w:val="0"/>
      <w:divBdr>
        <w:top w:val="none" w:sz="0" w:space="0" w:color="auto"/>
        <w:left w:val="none" w:sz="0" w:space="0" w:color="auto"/>
        <w:bottom w:val="none" w:sz="0" w:space="0" w:color="auto"/>
        <w:right w:val="none" w:sz="0" w:space="0" w:color="auto"/>
      </w:divBdr>
    </w:div>
    <w:div w:id="929972634">
      <w:bodyDiv w:val="1"/>
      <w:marLeft w:val="0"/>
      <w:marRight w:val="0"/>
      <w:marTop w:val="0"/>
      <w:marBottom w:val="0"/>
      <w:divBdr>
        <w:top w:val="none" w:sz="0" w:space="0" w:color="auto"/>
        <w:left w:val="none" w:sz="0" w:space="0" w:color="auto"/>
        <w:bottom w:val="none" w:sz="0" w:space="0" w:color="auto"/>
        <w:right w:val="none" w:sz="0" w:space="0" w:color="auto"/>
      </w:divBdr>
    </w:div>
    <w:div w:id="935283450">
      <w:bodyDiv w:val="1"/>
      <w:marLeft w:val="0"/>
      <w:marRight w:val="0"/>
      <w:marTop w:val="0"/>
      <w:marBottom w:val="0"/>
      <w:divBdr>
        <w:top w:val="none" w:sz="0" w:space="0" w:color="auto"/>
        <w:left w:val="none" w:sz="0" w:space="0" w:color="auto"/>
        <w:bottom w:val="none" w:sz="0" w:space="0" w:color="auto"/>
        <w:right w:val="none" w:sz="0" w:space="0" w:color="auto"/>
      </w:divBdr>
    </w:div>
    <w:div w:id="1161195987">
      <w:bodyDiv w:val="1"/>
      <w:marLeft w:val="0"/>
      <w:marRight w:val="0"/>
      <w:marTop w:val="0"/>
      <w:marBottom w:val="0"/>
      <w:divBdr>
        <w:top w:val="none" w:sz="0" w:space="0" w:color="auto"/>
        <w:left w:val="none" w:sz="0" w:space="0" w:color="auto"/>
        <w:bottom w:val="none" w:sz="0" w:space="0" w:color="auto"/>
        <w:right w:val="none" w:sz="0" w:space="0" w:color="auto"/>
      </w:divBdr>
    </w:div>
    <w:div w:id="1206328970">
      <w:bodyDiv w:val="1"/>
      <w:marLeft w:val="0"/>
      <w:marRight w:val="0"/>
      <w:marTop w:val="0"/>
      <w:marBottom w:val="0"/>
      <w:divBdr>
        <w:top w:val="none" w:sz="0" w:space="0" w:color="auto"/>
        <w:left w:val="none" w:sz="0" w:space="0" w:color="auto"/>
        <w:bottom w:val="none" w:sz="0" w:space="0" w:color="auto"/>
        <w:right w:val="none" w:sz="0" w:space="0" w:color="auto"/>
      </w:divBdr>
    </w:div>
    <w:div w:id="1525166323">
      <w:bodyDiv w:val="1"/>
      <w:marLeft w:val="0"/>
      <w:marRight w:val="0"/>
      <w:marTop w:val="0"/>
      <w:marBottom w:val="0"/>
      <w:divBdr>
        <w:top w:val="none" w:sz="0" w:space="0" w:color="auto"/>
        <w:left w:val="none" w:sz="0" w:space="0" w:color="auto"/>
        <w:bottom w:val="none" w:sz="0" w:space="0" w:color="auto"/>
        <w:right w:val="none" w:sz="0" w:space="0" w:color="auto"/>
      </w:divBdr>
    </w:div>
    <w:div w:id="1681276370">
      <w:bodyDiv w:val="1"/>
      <w:marLeft w:val="0"/>
      <w:marRight w:val="0"/>
      <w:marTop w:val="0"/>
      <w:marBottom w:val="0"/>
      <w:divBdr>
        <w:top w:val="none" w:sz="0" w:space="0" w:color="auto"/>
        <w:left w:val="none" w:sz="0" w:space="0" w:color="auto"/>
        <w:bottom w:val="none" w:sz="0" w:space="0" w:color="auto"/>
        <w:right w:val="none" w:sz="0" w:space="0" w:color="auto"/>
      </w:divBdr>
    </w:div>
    <w:div w:id="190475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uri=CELEX%3A32017R0821" TargetMode="External"/><Relationship Id="rId2" Type="http://schemas.openxmlformats.org/officeDocument/2006/relationships/hyperlink" Target="https://data.consilium.europa.eu/doc/document/ST-10276-2025-INIT/en/pdf" TargetMode="External"/><Relationship Id="rId1" Type="http://schemas.openxmlformats.org/officeDocument/2006/relationships/hyperlink" Target="https://ec.europa.eu/transparency/documents-register/detail?ref=COM(2025)5&amp;lang=en" TargetMode="External"/><Relationship Id="rId5" Type="http://schemas.openxmlformats.org/officeDocument/2006/relationships/hyperlink" Target="https://www.cahraslist.net/methodology" TargetMode="External"/><Relationship Id="rId4" Type="http://schemas.openxmlformats.org/officeDocument/2006/relationships/hyperlink" Target="https://eur-lex.europa.eu/legal-content/nl/TXT/?uri=CELEX%3A32017R08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2397</ap:Words>
  <ap:Characters>13187</ap:Characters>
  <ap:DocSecurity>0</ap:DocSecurity>
  <ap:Lines>109</ap:Lines>
  <ap:Paragraphs>31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GA RBZ-Handel - 9 november 2018</vt:lpstr>
      <vt:lpstr>GA RBZ-Handel - 9 november 2018</vt:lpstr>
    </vt:vector>
  </ap:TitlesOfParts>
  <ap:LinksUpToDate>false</ap:LinksUpToDate>
  <ap:CharactersWithSpaces>15553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2025-07-02T15:01:00.0000000Z</dcterms:created>
  <dcterms:modified xsi:type="dcterms:W3CDTF">2025-07-02T15:02:00.0000000Z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Land0">
    <vt:lpwstr/>
  </property>
  <property fmtid="{D5CDD505-2E9C-101B-9397-08002B2CF9AE}" pid="4" name="Forum">
    <vt:lpwstr/>
  </property>
  <property fmtid="{D5CDD505-2E9C-101B-9397-08002B2CF9AE}" pid="5" name="BinnengekomenOp">
    <vt:filetime>2018-10-11T12:47:26Z</vt:filetime>
  </property>
  <property fmtid="{D5CDD505-2E9C-101B-9397-08002B2CF9AE}" pid="6" name="ReferentieKamer">
    <vt:lpwstr>Min-BuZa.2018.060</vt:lpwstr>
  </property>
  <property fmtid="{D5CDD505-2E9C-101B-9397-08002B2CF9AE}" pid="7" name="_dlc_DocIdItemGuid">
    <vt:lpwstr>35da8b47-5395-4d08-8019-15957c1b58bf</vt:lpwstr>
  </property>
  <property fmtid="{D5CDD505-2E9C-101B-9397-08002B2CF9AE}" pid="8" name="_docset_NoMedatataSyncRequired">
    <vt:lpwstr>False</vt:lpwstr>
  </property>
  <property fmtid="{D5CDD505-2E9C-101B-9397-08002B2CF9AE}" pid="9" name="IsMyDocuments">
    <vt:bool>true</vt:bool>
  </property>
  <property fmtid="{D5CDD505-2E9C-101B-9397-08002B2CF9AE}" pid="10" name="BZ_Country">
    <vt:lpwstr>9;#The Netherlands|7f69a7bb-478c-499d-a6cf-5869916dfee4</vt:lpwstr>
  </property>
  <property fmtid="{D5CDD505-2E9C-101B-9397-08002B2CF9AE}" pid="11" name="BZ_Classification">
    <vt:lpwstr>14;#UNCLASSIFIED|d92c6340-bc14-4cb2-a9a6-6deda93c493b</vt:lpwstr>
  </property>
  <property fmtid="{D5CDD505-2E9C-101B-9397-08002B2CF9AE}" pid="12" name="BZ_Forum">
    <vt:lpwstr>8;#EU|4d8f9873-61b3-4ee5-b6f7-0bb00c6df5e8</vt:lpwstr>
  </property>
  <property fmtid="{D5CDD505-2E9C-101B-9397-08002B2CF9AE}" pid="13" name="BZ_Theme">
    <vt:lpwstr>11;#Organization|d3f777fe-abca-43dd-b11c-a7496ad32ea5;#7;#Visits (logistic)|53e8069b-a40e-4a89-b4f3-9b7112716272</vt:lpwstr>
  </property>
  <property fmtid="{D5CDD505-2E9C-101B-9397-08002B2CF9AE}" pid="14" name="BZForumOrganisation">
    <vt:lpwstr>2;#Not applicable|0049e722-bfb1-4a3f-9d08-af7366a9af40</vt:lpwstr>
  </property>
  <property fmtid="{D5CDD505-2E9C-101B-9397-08002B2CF9AE}" pid="15" name="URL">
    <vt:lpwstr/>
  </property>
  <property fmtid="{D5CDD505-2E9C-101B-9397-08002B2CF9AE}" pid="16" name="BZTheme">
    <vt:lpwstr>1;#Not applicable|ec01d90b-9d0f-4785-8785-e1ea615196bf</vt:lpwstr>
  </property>
  <property fmtid="{D5CDD505-2E9C-101B-9397-08002B2CF9AE}" pid="17" name="DocumentSetDescription">
    <vt:lpwstr/>
  </property>
  <property fmtid="{D5CDD505-2E9C-101B-9397-08002B2CF9AE}" pid="18" name="BZCountryState">
    <vt:lpwstr>3;#Not applicable|ec01d90b-9d0f-4785-8785-e1ea615196bf</vt:lpwstr>
  </property>
  <property fmtid="{D5CDD505-2E9C-101B-9397-08002B2CF9AE}" pid="19" name="BZMarking">
    <vt:lpwstr>5;#NO MARKING|0a4eb9ae-69eb-4d9e-b573-43ab99ef8592</vt:lpwstr>
  </property>
  <property fmtid="{D5CDD505-2E9C-101B-9397-08002B2CF9AE}" pid="20" name="BZClassification">
    <vt:lpwstr>4;#UNCLASSIFIED (U)|284e6a62-15ab-4017-be27-a1e965f4e940</vt:lpwstr>
  </property>
  <property fmtid="{D5CDD505-2E9C-101B-9397-08002B2CF9AE}" pid="21" name="a45510494d1a450e9cee6905c7ad8168">
    <vt:lpwstr>The Netherlands|7f69a7bb-478c-499d-a6cf-5869916dfee4</vt:lpwstr>
  </property>
  <property fmtid="{D5CDD505-2E9C-101B-9397-08002B2CF9AE}" pid="22" name="ge4bd621e46a403e97baf402a410deb5">
    <vt:lpwstr>EU|4d8f9873-61b3-4ee5-b6f7-0bb00c6df5e8</vt:lpwstr>
  </property>
  <property fmtid="{D5CDD505-2E9C-101B-9397-08002B2CF9AE}" pid="23" name="nf4434b3fae540fe847866e45672fb3a">
    <vt:lpwstr>Organization|d3f777fe-abca-43dd-b11c-a7496ad32ea5;Visits (logistic)|53e8069b-a40e-4a89-b4f3-9b7112716272</vt:lpwstr>
  </property>
  <property fmtid="{D5CDD505-2E9C-101B-9397-08002B2CF9AE}" pid="24" name="gc2efd3bfea04f7f8169be07009f5536">
    <vt:lpwstr/>
  </property>
  <property fmtid="{D5CDD505-2E9C-101B-9397-08002B2CF9AE}" pid="25" name="BZDossierResponsibleDepartment">
    <vt:lpwstr/>
  </property>
  <property fmtid="{D5CDD505-2E9C-101B-9397-08002B2CF9AE}" pid="26" name="BZDossierProcessLocation">
    <vt:lpwstr/>
  </property>
  <property fmtid="{D5CDD505-2E9C-101B-9397-08002B2CF9AE}" pid="27" name="BZDossierGovernmentOfficial">
    <vt:lpwstr/>
  </property>
  <property fmtid="{D5CDD505-2E9C-101B-9397-08002B2CF9AE}" pid="28" name="f2fb2a8e39404f1ab554e4e4a49d2918">
    <vt:lpwstr/>
  </property>
  <property fmtid="{D5CDD505-2E9C-101B-9397-08002B2CF9AE}" pid="29" name="i42ef48d5fa942a0ad0d60e44f201751">
    <vt:lpwstr/>
  </property>
  <property fmtid="{D5CDD505-2E9C-101B-9397-08002B2CF9AE}" pid="30" name="BZDossierPublishingWOOCategory">
    <vt:lpwstr/>
  </property>
  <property fmtid="{D5CDD505-2E9C-101B-9397-08002B2CF9AE}" pid="31" name="f8e003236e1c4ac2ab9051d5d8789bbb">
    <vt:lpwstr/>
  </property>
  <property fmtid="{D5CDD505-2E9C-101B-9397-08002B2CF9AE}" pid="32" name="p29721a54a5c4bbe9786e930fc91e270">
    <vt:lpwstr/>
  </property>
  <property fmtid="{D5CDD505-2E9C-101B-9397-08002B2CF9AE}" pid="33" name="e256f556a7b748329ab47889947c7d40">
    <vt:lpwstr/>
  </property>
  <property fmtid="{D5CDD505-2E9C-101B-9397-08002B2CF9AE}" pid="34" name="ed9282a3f18446ec8c17c7829edf82dd">
    <vt:lpwstr/>
  </property>
  <property fmtid="{D5CDD505-2E9C-101B-9397-08002B2CF9AE}" pid="35" name="BZDossierProcessType">
    <vt:lpwstr/>
  </property>
  <property fmtid="{D5CDD505-2E9C-101B-9397-08002B2CF9AE}" pid="36" name="BZDossierBudgetManager">
    <vt:lpwstr/>
  </property>
  <property fmtid="{D5CDD505-2E9C-101B-9397-08002B2CF9AE}" pid="37" name="BZDossierSendTo">
    <vt:lpwstr/>
  </property>
</Properties>
</file>