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278D" w:rsidR="007B278D" w:rsidP="007B278D" w:rsidRDefault="00247444" w14:paraId="068967D4" w14:textId="328F6DE8">
      <w:pPr>
        <w:keepNext/>
        <w:keepLines/>
        <w:spacing w:before="240" w:after="0" w:line="240" w:lineRule="auto"/>
        <w:outlineLvl w:val="0"/>
        <w:rPr>
          <w:rFonts w:asciiTheme="majorHAnsi" w:hAnsiTheme="majorHAnsi" w:eastAsiaTheme="majorEastAsia" w:cstheme="majorBidi"/>
          <w:color w:val="2F5496" w:themeColor="accent1" w:themeShade="BF"/>
          <w:sz w:val="32"/>
          <w:szCs w:val="32"/>
          <w:lang w:eastAsia="nl-NL"/>
          <w14:ligatures w14:val="none"/>
        </w:rPr>
      </w:pPr>
      <w:bookmarkStart w:name="_Hlk199246441" w:id="0"/>
      <w:r>
        <w:rPr>
          <w:rFonts w:asciiTheme="majorHAnsi" w:hAnsiTheme="majorHAnsi" w:eastAsiaTheme="majorEastAsia" w:cstheme="majorBidi"/>
          <w:color w:val="2F5496" w:themeColor="accent1" w:themeShade="BF"/>
          <w:sz w:val="32"/>
          <w:szCs w:val="32"/>
          <w:lang w:eastAsia="nl-NL"/>
          <w14:ligatures w14:val="none"/>
        </w:rPr>
        <w:t xml:space="preserve">Nazending </w:t>
      </w:r>
      <w:r w:rsidRPr="007B278D" w:rsidR="007B278D">
        <w:rPr>
          <w:rFonts w:asciiTheme="majorHAnsi" w:hAnsiTheme="majorHAnsi" w:eastAsiaTheme="majorEastAsia" w:cstheme="majorBidi"/>
          <w:color w:val="2F5496" w:themeColor="accent1" w:themeShade="BF"/>
          <w:sz w:val="32"/>
          <w:szCs w:val="32"/>
          <w:lang w:eastAsia="nl-NL"/>
          <w14:ligatures w14:val="none"/>
        </w:rPr>
        <w:t xml:space="preserve">Geannoteerde agenda Eurogroep en Ecofinraad </w:t>
      </w:r>
      <w:r w:rsidR="007B278D">
        <w:rPr>
          <w:rFonts w:asciiTheme="majorHAnsi" w:hAnsiTheme="majorHAnsi" w:eastAsiaTheme="majorEastAsia" w:cstheme="majorBidi"/>
          <w:color w:val="2F5496" w:themeColor="accent1" w:themeShade="BF"/>
          <w:sz w:val="32"/>
          <w:szCs w:val="32"/>
          <w:lang w:eastAsia="nl-NL"/>
          <w14:ligatures w14:val="none"/>
        </w:rPr>
        <w:t>19</w:t>
      </w:r>
      <w:r w:rsidRPr="007B278D" w:rsidR="007B278D">
        <w:rPr>
          <w:rFonts w:asciiTheme="majorHAnsi" w:hAnsiTheme="majorHAnsi" w:eastAsiaTheme="majorEastAsia" w:cstheme="majorBidi"/>
          <w:color w:val="2F5496" w:themeColor="accent1" w:themeShade="BF"/>
          <w:sz w:val="32"/>
          <w:szCs w:val="32"/>
          <w:lang w:eastAsia="nl-NL"/>
          <w14:ligatures w14:val="none"/>
        </w:rPr>
        <w:t xml:space="preserve"> en </w:t>
      </w:r>
      <w:r w:rsidR="007B278D">
        <w:rPr>
          <w:rFonts w:asciiTheme="majorHAnsi" w:hAnsiTheme="majorHAnsi" w:eastAsiaTheme="majorEastAsia" w:cstheme="majorBidi"/>
          <w:color w:val="2F5496" w:themeColor="accent1" w:themeShade="BF"/>
          <w:sz w:val="32"/>
          <w:szCs w:val="32"/>
          <w:lang w:eastAsia="nl-NL"/>
          <w14:ligatures w14:val="none"/>
        </w:rPr>
        <w:t>20 juni 2025</w:t>
      </w:r>
      <w:r>
        <w:rPr>
          <w:rFonts w:asciiTheme="majorHAnsi" w:hAnsiTheme="majorHAnsi" w:eastAsiaTheme="majorEastAsia" w:cstheme="majorBidi"/>
          <w:color w:val="2F5496" w:themeColor="accent1" w:themeShade="BF"/>
          <w:sz w:val="32"/>
          <w:szCs w:val="32"/>
          <w:lang w:eastAsia="nl-NL"/>
          <w14:ligatures w14:val="none"/>
        </w:rPr>
        <w:t xml:space="preserve"> – Lentepakket Europese Commissie</w:t>
      </w:r>
    </w:p>
    <w:p w:rsidRPr="007B278D" w:rsidR="007B278D" w:rsidP="007B278D" w:rsidRDefault="007B278D" w14:paraId="6060F253" w14:textId="77777777">
      <w:pPr>
        <w:spacing w:after="0" w:line="240" w:lineRule="auto"/>
        <w:rPr>
          <w:rFonts w:ascii="Verdana" w:hAnsi="Verdana" w:cs="Calibri"/>
          <w:sz w:val="18"/>
          <w:szCs w:val="18"/>
          <w:lang w:eastAsia="nl-NL"/>
          <w14:ligatures w14:val="none"/>
        </w:rPr>
      </w:pPr>
    </w:p>
    <w:p w:rsidRPr="007B278D" w:rsidR="007B278D" w:rsidP="007B278D" w:rsidRDefault="007B278D" w14:paraId="02440196" w14:textId="7848D9E1">
      <w:pPr>
        <w:keepNext/>
        <w:keepLines/>
        <w:spacing w:before="40" w:after="0" w:line="240" w:lineRule="auto"/>
        <w:outlineLvl w:val="1"/>
        <w:rPr>
          <w:rFonts w:asciiTheme="majorHAnsi" w:hAnsiTheme="majorHAnsi" w:eastAsiaTheme="majorEastAsia" w:cstheme="majorBidi"/>
          <w:color w:val="2F5496" w:themeColor="accent1" w:themeShade="BF"/>
          <w:sz w:val="26"/>
          <w:szCs w:val="26"/>
          <w:lang w:eastAsia="nl-NL"/>
          <w14:ligatures w14:val="none"/>
        </w:rPr>
      </w:pPr>
      <w:r w:rsidRPr="007B278D">
        <w:rPr>
          <w:rFonts w:asciiTheme="majorHAnsi" w:hAnsiTheme="majorHAnsi" w:eastAsiaTheme="majorEastAsia" w:cstheme="majorBidi"/>
          <w:color w:val="2F5496" w:themeColor="accent1" w:themeShade="BF"/>
          <w:sz w:val="26"/>
          <w:szCs w:val="26"/>
          <w:lang w:eastAsia="nl-NL"/>
          <w14:ligatures w14:val="none"/>
        </w:rPr>
        <w:t>Eurogroep</w:t>
      </w:r>
    </w:p>
    <w:p w:rsidRPr="008D06E2" w:rsidR="007B278D" w:rsidP="007B278D" w:rsidRDefault="007B278D" w14:paraId="05FD8B32" w14:textId="77777777">
      <w:pPr>
        <w:spacing w:after="0" w:line="240" w:lineRule="auto"/>
        <w:rPr>
          <w:rFonts w:ascii="Verdana" w:hAnsi="Verdana" w:eastAsia="Verdana" w:cs="Verdana"/>
          <w:b/>
          <w:bCs/>
          <w:sz w:val="18"/>
          <w:szCs w:val="18"/>
        </w:rPr>
      </w:pPr>
      <w:r w:rsidRPr="008D06E2">
        <w:rPr>
          <w:rFonts w:ascii="Verdana" w:hAnsi="Verdana" w:eastAsia="Verdana" w:cs="Verdana"/>
          <w:b/>
          <w:bCs/>
          <w:sz w:val="18"/>
          <w:szCs w:val="18"/>
        </w:rPr>
        <w:t xml:space="preserve">Convergentieverslagen van de Europese Centrale Bank en Europese Commissie en uitbreiding van de eurozone Bulgarije </w:t>
      </w:r>
    </w:p>
    <w:p w:rsidR="007B278D" w:rsidP="007B278D" w:rsidRDefault="007B278D" w14:paraId="6AD1BD61" w14:textId="23C89F62">
      <w:pPr>
        <w:spacing w:after="0" w:line="240" w:lineRule="auto"/>
        <w:rPr>
          <w:rFonts w:ascii="Verdana" w:hAnsi="Verdana" w:eastAsia="Verdana" w:cs="Verdana"/>
          <w:b/>
          <w:bCs/>
          <w:sz w:val="18"/>
          <w:szCs w:val="18"/>
        </w:rPr>
      </w:pPr>
      <w:r w:rsidRPr="008D06E2">
        <w:rPr>
          <w:rFonts w:ascii="Verdana" w:hAnsi="Verdana" w:eastAsia="Verdana" w:cs="Verdana"/>
          <w:b/>
          <w:bCs/>
          <w:sz w:val="18"/>
          <w:szCs w:val="18"/>
        </w:rPr>
        <w:t>Document</w:t>
      </w:r>
      <w:r w:rsidR="00160D6A">
        <w:rPr>
          <w:rFonts w:ascii="Verdana" w:hAnsi="Verdana" w:eastAsia="Verdana" w:cs="Verdana"/>
          <w:b/>
          <w:bCs/>
          <w:sz w:val="18"/>
          <w:szCs w:val="18"/>
        </w:rPr>
        <w:t>en</w:t>
      </w:r>
      <w:r w:rsidRPr="008D06E2">
        <w:rPr>
          <w:rFonts w:ascii="Verdana" w:hAnsi="Verdana" w:eastAsia="Verdana" w:cs="Verdana"/>
          <w:b/>
          <w:bCs/>
          <w:sz w:val="18"/>
          <w:szCs w:val="18"/>
        </w:rPr>
        <w:t xml:space="preserve">: </w:t>
      </w:r>
    </w:p>
    <w:p w:rsidRPr="009C5104" w:rsidR="00160D6A" w:rsidP="00160D6A" w:rsidRDefault="00160D6A" w14:paraId="679F20BA" w14:textId="77777777">
      <w:pPr>
        <w:pStyle w:val="Lijstalinea"/>
        <w:numPr>
          <w:ilvl w:val="0"/>
          <w:numId w:val="5"/>
        </w:numPr>
        <w:spacing w:after="0" w:line="240" w:lineRule="auto"/>
        <w:rPr>
          <w:rFonts w:ascii="Verdana" w:hAnsi="Verdana" w:eastAsia="Verdana" w:cs="Verdana"/>
          <w:sz w:val="18"/>
          <w:szCs w:val="18"/>
        </w:rPr>
      </w:pPr>
      <w:r w:rsidRPr="009C5104">
        <w:rPr>
          <w:rFonts w:ascii="Verdana" w:hAnsi="Verdana" w:eastAsia="Verdana" w:cs="Verdana"/>
          <w:sz w:val="18"/>
          <w:szCs w:val="18"/>
        </w:rPr>
        <w:t>Convergentierapport ECB</w:t>
      </w:r>
      <w:r>
        <w:rPr>
          <w:rStyle w:val="Voetnootmarkering"/>
          <w:rFonts w:ascii="Verdana" w:hAnsi="Verdana" w:eastAsia="Verdana" w:cs="Verdana"/>
          <w:sz w:val="18"/>
          <w:szCs w:val="18"/>
        </w:rPr>
        <w:footnoteReference w:id="1"/>
      </w:r>
    </w:p>
    <w:p w:rsidRPr="009C5104" w:rsidR="00160D6A" w:rsidP="00160D6A" w:rsidRDefault="00160D6A" w14:paraId="5EB76D6A" w14:textId="77777777">
      <w:pPr>
        <w:pStyle w:val="Lijstalinea"/>
        <w:numPr>
          <w:ilvl w:val="0"/>
          <w:numId w:val="5"/>
        </w:numPr>
        <w:spacing w:after="0" w:line="240" w:lineRule="auto"/>
        <w:rPr>
          <w:rFonts w:ascii="Verdana" w:hAnsi="Verdana" w:eastAsia="Verdana" w:cs="Verdana"/>
          <w:sz w:val="18"/>
          <w:szCs w:val="18"/>
        </w:rPr>
      </w:pPr>
      <w:r w:rsidRPr="009C5104">
        <w:rPr>
          <w:rFonts w:ascii="Verdana" w:hAnsi="Verdana" w:eastAsia="Verdana" w:cs="Verdana"/>
          <w:sz w:val="18"/>
          <w:szCs w:val="18"/>
        </w:rPr>
        <w:t>Convergentierapport EC</w:t>
      </w:r>
      <w:r>
        <w:rPr>
          <w:rStyle w:val="Voetnootmarkering"/>
          <w:rFonts w:ascii="Verdana" w:hAnsi="Verdana" w:eastAsia="Verdana" w:cs="Verdana"/>
          <w:sz w:val="18"/>
          <w:szCs w:val="18"/>
        </w:rPr>
        <w:footnoteReference w:id="2"/>
      </w:r>
    </w:p>
    <w:p w:rsidRPr="008D06E2" w:rsidR="007B278D" w:rsidP="007B278D" w:rsidRDefault="007B278D" w14:paraId="0B5B1643" w14:textId="77777777">
      <w:pPr>
        <w:spacing w:after="0" w:line="240" w:lineRule="auto"/>
        <w:rPr>
          <w:rFonts w:ascii="Verdana" w:hAnsi="Verdana" w:eastAsia="Verdana" w:cs="Verdana"/>
          <w:sz w:val="18"/>
          <w:szCs w:val="18"/>
        </w:rPr>
      </w:pPr>
      <w:r w:rsidRPr="008D06E2">
        <w:rPr>
          <w:rFonts w:ascii="Verdana" w:hAnsi="Verdana" w:eastAsia="Verdana" w:cs="Verdana"/>
          <w:b/>
          <w:bCs/>
          <w:sz w:val="18"/>
          <w:szCs w:val="18"/>
        </w:rPr>
        <w:t xml:space="preserve">Aard bespreking: </w:t>
      </w:r>
      <w:r>
        <w:rPr>
          <w:rFonts w:ascii="Verdana" w:hAnsi="Verdana" w:eastAsia="Verdana" w:cs="Verdana"/>
          <w:sz w:val="18"/>
          <w:szCs w:val="18"/>
        </w:rPr>
        <w:t>gedachtewisseling</w:t>
      </w:r>
      <w:r w:rsidRPr="008D06E2">
        <w:rPr>
          <w:rFonts w:ascii="Verdana" w:hAnsi="Verdana" w:eastAsia="Verdana" w:cs="Verdana"/>
          <w:sz w:val="18"/>
          <w:szCs w:val="18"/>
        </w:rPr>
        <w:t xml:space="preserve"> </w:t>
      </w:r>
      <w:r w:rsidRPr="008D06E2">
        <w:rPr>
          <w:rFonts w:ascii="Verdana" w:hAnsi="Verdana"/>
          <w:sz w:val="18"/>
          <w:szCs w:val="18"/>
        </w:rPr>
        <w:br/>
      </w:r>
      <w:r w:rsidRPr="008D06E2">
        <w:rPr>
          <w:rFonts w:ascii="Verdana" w:hAnsi="Verdana" w:eastAsia="Verdana" w:cs="Verdana"/>
          <w:b/>
          <w:bCs/>
          <w:sz w:val="18"/>
          <w:szCs w:val="18"/>
        </w:rPr>
        <w:t xml:space="preserve">Besluitvormingsprocedure: </w:t>
      </w:r>
      <w:r>
        <w:rPr>
          <w:rFonts w:ascii="Verdana" w:hAnsi="Verdana" w:eastAsia="Verdana" w:cs="Verdana"/>
          <w:sz w:val="18"/>
          <w:szCs w:val="18"/>
        </w:rPr>
        <w:t>n.v.t.</w:t>
      </w:r>
    </w:p>
    <w:p w:rsidRPr="008D06E2" w:rsidR="007B278D" w:rsidP="00162E3C" w:rsidRDefault="007B278D" w14:paraId="66C90C63" w14:textId="6CB09DC4">
      <w:pPr>
        <w:spacing w:before="120" w:after="0" w:line="240" w:lineRule="auto"/>
        <w:rPr>
          <w:rFonts w:ascii="Verdana" w:hAnsi="Verdana"/>
          <w:sz w:val="18"/>
          <w:szCs w:val="18"/>
        </w:rPr>
      </w:pPr>
      <w:r w:rsidRPr="008D06E2">
        <w:rPr>
          <w:rFonts w:ascii="Verdana" w:hAnsi="Verdana" w:eastAsia="Verdana" w:cs="Verdana"/>
          <w:sz w:val="18"/>
          <w:szCs w:val="18"/>
        </w:rPr>
        <w:t xml:space="preserve">Dit onderwerp wordt in de Eurogroep besproken, </w:t>
      </w:r>
      <w:r w:rsidR="00247444">
        <w:rPr>
          <w:rFonts w:ascii="Verdana" w:hAnsi="Verdana" w:eastAsia="Verdana" w:cs="Verdana"/>
          <w:sz w:val="18"/>
          <w:szCs w:val="18"/>
        </w:rPr>
        <w:t xml:space="preserve">maar </w:t>
      </w:r>
      <w:r w:rsidRPr="008D06E2">
        <w:rPr>
          <w:rFonts w:ascii="Verdana" w:hAnsi="Verdana" w:eastAsia="Verdana" w:cs="Verdana"/>
          <w:sz w:val="18"/>
          <w:szCs w:val="18"/>
        </w:rPr>
        <w:t>besluitvorming vindt plaats in de Ecofinraad. Zie voor verdere toelichting onder hetzelfde agenda-onderwerp bij de Ecofinraad</w:t>
      </w:r>
      <w:r w:rsidR="00247444">
        <w:rPr>
          <w:rFonts w:ascii="Verdana" w:hAnsi="Verdana" w:eastAsia="Verdana" w:cs="Verdana"/>
          <w:sz w:val="18"/>
          <w:szCs w:val="18"/>
        </w:rPr>
        <w:t>.</w:t>
      </w:r>
    </w:p>
    <w:p w:rsidR="00162E3C" w:rsidP="007B278D" w:rsidRDefault="00162E3C" w14:paraId="304E520B" w14:textId="77777777">
      <w:pPr>
        <w:keepNext/>
        <w:keepLines/>
        <w:spacing w:before="40" w:after="0" w:line="240" w:lineRule="auto"/>
        <w:outlineLvl w:val="1"/>
        <w:rPr>
          <w:rFonts w:asciiTheme="majorHAnsi" w:hAnsiTheme="majorHAnsi" w:eastAsiaTheme="majorEastAsia" w:cstheme="majorBidi"/>
          <w:color w:val="2F5496" w:themeColor="accent1" w:themeShade="BF"/>
          <w:sz w:val="26"/>
          <w:szCs w:val="26"/>
          <w:lang w:eastAsia="nl-NL"/>
          <w14:ligatures w14:val="none"/>
        </w:rPr>
      </w:pPr>
    </w:p>
    <w:p w:rsidRPr="007B278D" w:rsidR="007B278D" w:rsidP="007B278D" w:rsidRDefault="007B278D" w14:paraId="4F6F7763" w14:textId="20351AB5">
      <w:pPr>
        <w:keepNext/>
        <w:keepLines/>
        <w:spacing w:before="40" w:after="0" w:line="240" w:lineRule="auto"/>
        <w:outlineLvl w:val="1"/>
        <w:rPr>
          <w:rFonts w:asciiTheme="majorHAnsi" w:hAnsiTheme="majorHAnsi" w:eastAsiaTheme="majorEastAsia" w:cstheme="majorBidi"/>
          <w:color w:val="2F5496" w:themeColor="accent1" w:themeShade="BF"/>
          <w:sz w:val="26"/>
          <w:szCs w:val="26"/>
          <w:lang w:eastAsia="nl-NL"/>
          <w14:ligatures w14:val="none"/>
        </w:rPr>
      </w:pPr>
      <w:r>
        <w:rPr>
          <w:rFonts w:asciiTheme="majorHAnsi" w:hAnsiTheme="majorHAnsi" w:eastAsiaTheme="majorEastAsia" w:cstheme="majorBidi"/>
          <w:color w:val="2F5496" w:themeColor="accent1" w:themeShade="BF"/>
          <w:sz w:val="26"/>
          <w:szCs w:val="26"/>
          <w:lang w:eastAsia="nl-NL"/>
          <w14:ligatures w14:val="none"/>
        </w:rPr>
        <w:t>Ecofinraad</w:t>
      </w:r>
    </w:p>
    <w:p w:rsidR="00D51873" w:rsidP="00B20609" w:rsidRDefault="00B20609" w14:paraId="41700A68" w14:textId="77777777">
      <w:pPr>
        <w:rPr>
          <w:rFonts w:ascii="Verdana" w:hAnsi="Verdana"/>
          <w:sz w:val="18"/>
          <w:szCs w:val="18"/>
        </w:rPr>
      </w:pPr>
      <w:r w:rsidRPr="5981DEC0">
        <w:rPr>
          <w:rFonts w:ascii="Verdana" w:hAnsi="Verdana"/>
          <w:b/>
          <w:bCs/>
          <w:sz w:val="18"/>
          <w:szCs w:val="18"/>
        </w:rPr>
        <w:t xml:space="preserve">Lentepakket Europees Semester 2025 – </w:t>
      </w:r>
      <w:r>
        <w:rPr>
          <w:rFonts w:ascii="Verdana" w:hAnsi="Verdana"/>
          <w:b/>
          <w:bCs/>
          <w:sz w:val="18"/>
          <w:szCs w:val="18"/>
        </w:rPr>
        <w:t>overkoepelende mededeling</w:t>
      </w:r>
      <w:r>
        <w:rPr>
          <w:rFonts w:ascii="Verdana" w:hAnsi="Verdana"/>
          <w:b/>
          <w:bCs/>
          <w:sz w:val="18"/>
          <w:szCs w:val="18"/>
        </w:rPr>
        <w:br/>
      </w:r>
      <w:r w:rsidRPr="5981DEC0">
        <w:rPr>
          <w:rFonts w:ascii="Verdana" w:hAnsi="Verdana"/>
          <w:b/>
          <w:bCs/>
          <w:sz w:val="18"/>
          <w:szCs w:val="18"/>
        </w:rPr>
        <w:t>Document</w:t>
      </w:r>
      <w:r w:rsidRPr="5981DEC0">
        <w:rPr>
          <w:rFonts w:ascii="Verdana" w:hAnsi="Verdana"/>
          <w:sz w:val="18"/>
          <w:szCs w:val="18"/>
        </w:rPr>
        <w:t xml:space="preserve">: </w:t>
      </w:r>
      <w:r>
        <w:rPr>
          <w:rFonts w:ascii="Verdana" w:hAnsi="Verdana"/>
          <w:sz w:val="18"/>
          <w:szCs w:val="18"/>
        </w:rPr>
        <w:t xml:space="preserve">De overkoepelende mededeling is beschikbaar op:  </w:t>
      </w:r>
      <w:hyperlink w:history="1" r:id="rId7">
        <w:r w:rsidRPr="00531935">
          <w:rPr>
            <w:rStyle w:val="Hyperlink"/>
            <w:rFonts w:ascii="Verdana" w:hAnsi="Verdana"/>
            <w:sz w:val="18"/>
            <w:szCs w:val="18"/>
          </w:rPr>
          <w:t>https://commission.europa.eu/publications/2025-european-semester-spring-package-communication_en</w:t>
        </w:r>
      </w:hyperlink>
      <w:r>
        <w:rPr>
          <w:rFonts w:ascii="Verdana" w:hAnsi="Verdana"/>
          <w:sz w:val="18"/>
          <w:szCs w:val="18"/>
        </w:rPr>
        <w:t xml:space="preserve"> </w:t>
      </w:r>
      <w:r>
        <w:rPr>
          <w:rFonts w:ascii="Verdana" w:hAnsi="Verdana"/>
          <w:sz w:val="18"/>
          <w:szCs w:val="18"/>
        </w:rPr>
        <w:br/>
      </w:r>
      <w:r w:rsidRPr="5981DEC0">
        <w:rPr>
          <w:rFonts w:ascii="Verdana" w:hAnsi="Verdana"/>
          <w:b/>
          <w:bCs/>
          <w:sz w:val="18"/>
          <w:szCs w:val="18"/>
        </w:rPr>
        <w:t>Aard bespreking</w:t>
      </w:r>
      <w:r w:rsidRPr="5981DEC0">
        <w:rPr>
          <w:rFonts w:ascii="Verdana" w:hAnsi="Verdana"/>
          <w:sz w:val="18"/>
          <w:szCs w:val="18"/>
        </w:rPr>
        <w:t xml:space="preserve">: </w:t>
      </w:r>
      <w:r>
        <w:rPr>
          <w:rFonts w:ascii="Verdana" w:hAnsi="Verdana"/>
          <w:sz w:val="18"/>
          <w:szCs w:val="18"/>
        </w:rPr>
        <w:t>presentatie en gedachtewisseling</w:t>
      </w:r>
      <w:r>
        <w:rPr>
          <w:rFonts w:ascii="Verdana" w:hAnsi="Verdana"/>
          <w:sz w:val="18"/>
          <w:szCs w:val="18"/>
        </w:rPr>
        <w:br/>
      </w:r>
      <w:r w:rsidRPr="5981DEC0">
        <w:rPr>
          <w:rFonts w:ascii="Verdana" w:hAnsi="Verdana"/>
          <w:b/>
          <w:bCs/>
          <w:sz w:val="18"/>
          <w:szCs w:val="18"/>
        </w:rPr>
        <w:t>Besluitvormingsprocedure</w:t>
      </w:r>
      <w:r w:rsidRPr="5981DEC0">
        <w:rPr>
          <w:rFonts w:ascii="Verdana" w:hAnsi="Verdana"/>
          <w:sz w:val="18"/>
          <w:szCs w:val="18"/>
        </w:rPr>
        <w:t xml:space="preserve">: </w:t>
      </w:r>
      <w:r>
        <w:rPr>
          <w:rFonts w:ascii="Verdana" w:hAnsi="Verdana"/>
          <w:sz w:val="18"/>
          <w:szCs w:val="18"/>
        </w:rPr>
        <w:t>N.v.t.</w:t>
      </w:r>
      <w:r>
        <w:rPr>
          <w:rFonts w:ascii="Verdana" w:hAnsi="Verdana"/>
          <w:sz w:val="18"/>
          <w:szCs w:val="18"/>
        </w:rPr>
        <w:br/>
      </w:r>
      <w:r w:rsidRPr="5981DEC0">
        <w:rPr>
          <w:rFonts w:ascii="Verdana" w:hAnsi="Verdana"/>
          <w:b/>
          <w:bCs/>
          <w:sz w:val="18"/>
          <w:szCs w:val="18"/>
        </w:rPr>
        <w:t>Toelichting</w:t>
      </w:r>
      <w:r w:rsidRPr="5981DEC0">
        <w:rPr>
          <w:rFonts w:ascii="Verdana" w:hAnsi="Verdana"/>
          <w:sz w:val="18"/>
          <w:szCs w:val="18"/>
        </w:rPr>
        <w:t xml:space="preserve">: </w:t>
      </w:r>
    </w:p>
    <w:p w:rsidRPr="009217FE" w:rsidR="00B20609" w:rsidP="00B20609" w:rsidRDefault="00B20609" w14:paraId="44B65783" w14:textId="1A0EB630">
      <w:pPr>
        <w:rPr>
          <w:rFonts w:ascii="Verdana" w:hAnsi="Verdana"/>
          <w:sz w:val="18"/>
          <w:szCs w:val="18"/>
        </w:rPr>
      </w:pPr>
      <w:r w:rsidRPr="5981DEC0">
        <w:rPr>
          <w:rFonts w:ascii="Verdana" w:hAnsi="Verdana"/>
          <w:sz w:val="18"/>
          <w:szCs w:val="18"/>
        </w:rPr>
        <w:t xml:space="preserve">Op 4 juni jl. heeft de Europese Commissie (de Commissie) het lentepakket in het kader van het Europees Semester gepubliceerd. Het Europees Semester is het jaarlijkse proces waarin EU-lidstaten hun economisch, arbeidsmarkt- en begrotingsbeleid coördineren. De oorsprong hiervan ligt in het Verdrag betreffende de werking van de Europese Unie, in bijzonder </w:t>
      </w:r>
      <w:r>
        <w:rPr>
          <w:rFonts w:ascii="Verdana" w:hAnsi="Verdana"/>
          <w:sz w:val="18"/>
          <w:szCs w:val="18"/>
        </w:rPr>
        <w:t>a</w:t>
      </w:r>
      <w:r w:rsidRPr="5981DEC0">
        <w:rPr>
          <w:rFonts w:ascii="Verdana" w:hAnsi="Verdana"/>
          <w:sz w:val="18"/>
          <w:szCs w:val="18"/>
        </w:rPr>
        <w:t xml:space="preserve">rtikel 121(2), 126(3) en 148(4), en de afspraken die daarin zijn gemaakt over het economisch beleid en het werkgelegenheidsbeleid. Zo is afgesproken dat de lidstaten hun economisch beleid als aangelegenheid van gemeenschappelijk belang beschouwen en het coördineren in de Raad en dat de lidstaten buitensporige tekorten vermijden. Ook is afgesproken dat de lidstaten door middel van hun werkgelegenheidsbeleid bijdragen aan het bereiken van de bevordering van scholing, opleiding en het aanpassingsvermogen van werknemers en arbeidsmarkten die soepel reageren op economische veranderingen. Deze afspraken over het economisch beleid en het werkgelegenheidsbeleid hebben als doel om bij te dragen aan het bereiken van de doelstellingen van de Unie, zoals die zijn opgenomen in artikel 3 van het Verdrag betreffende de Europese Unie. </w:t>
      </w:r>
    </w:p>
    <w:p w:rsidRPr="009217FE" w:rsidR="00B20609" w:rsidP="00B20609" w:rsidRDefault="00B20609" w14:paraId="22481755" w14:textId="77777777">
      <w:pPr>
        <w:rPr>
          <w:rFonts w:ascii="Verdana" w:hAnsi="Verdana"/>
          <w:sz w:val="18"/>
          <w:szCs w:val="18"/>
        </w:rPr>
      </w:pPr>
      <w:r w:rsidRPr="5981DEC0">
        <w:rPr>
          <w:rFonts w:ascii="Verdana" w:hAnsi="Verdana"/>
          <w:sz w:val="18"/>
          <w:szCs w:val="18"/>
        </w:rPr>
        <w:t xml:space="preserve">Het Semester combineert het toezicht op macro-economische onevenwichtigheden, overheidsfinanciën, arbeidsmarktbeleid en het bevorderen van inclusieve economische groei in de EU. Dit lentepakket valt binnen de 2025 Semestercyclus en volgt op het herfstpakket dat is gepubliceerd in december 2024, waarover uw Kamer </w:t>
      </w:r>
      <w:r>
        <w:rPr>
          <w:rFonts w:ascii="Verdana" w:hAnsi="Verdana"/>
          <w:sz w:val="18"/>
          <w:szCs w:val="18"/>
        </w:rPr>
        <w:t>destijds</w:t>
      </w:r>
      <w:r w:rsidRPr="5981DEC0">
        <w:rPr>
          <w:rFonts w:ascii="Verdana" w:hAnsi="Verdana"/>
          <w:sz w:val="18"/>
          <w:szCs w:val="18"/>
        </w:rPr>
        <w:t xml:space="preserve"> is geïnformeerd.</w:t>
      </w:r>
      <w:r>
        <w:rPr>
          <w:rStyle w:val="Voetnootmarkering"/>
          <w:rFonts w:ascii="Verdana" w:hAnsi="Verdana"/>
          <w:sz w:val="18"/>
          <w:szCs w:val="18"/>
        </w:rPr>
        <w:footnoteReference w:id="3"/>
      </w:r>
      <w:r w:rsidRPr="5981DEC0">
        <w:rPr>
          <w:rFonts w:ascii="Verdana" w:hAnsi="Verdana"/>
          <w:sz w:val="18"/>
          <w:szCs w:val="18"/>
        </w:rPr>
        <w:t xml:space="preserve"> </w:t>
      </w:r>
    </w:p>
    <w:p w:rsidR="00B20609" w:rsidP="00B20609" w:rsidRDefault="00B20609" w14:paraId="42B3CA15" w14:textId="77777777">
      <w:pPr>
        <w:rPr>
          <w:rFonts w:ascii="Verdana" w:hAnsi="Verdana"/>
          <w:sz w:val="18"/>
          <w:szCs w:val="18"/>
        </w:rPr>
      </w:pPr>
      <w:r w:rsidRPr="5981DEC0">
        <w:rPr>
          <w:rFonts w:ascii="Verdana" w:hAnsi="Verdana"/>
          <w:sz w:val="18"/>
          <w:szCs w:val="18"/>
        </w:rPr>
        <w:t>Hieronder volgt een overzicht van de overkoepelende mededeling bij het lentepakket</w:t>
      </w:r>
      <w:r>
        <w:rPr>
          <w:rFonts w:ascii="Verdana" w:hAnsi="Verdana"/>
          <w:sz w:val="18"/>
          <w:szCs w:val="18"/>
        </w:rPr>
        <w:t>. De verschillende specifieke onderdelen van het lentepakket die leiden tot besluitvorming in de Raad worden in aparte bijdragen in deze geannoteerde agenda uiteengezet.</w:t>
      </w:r>
    </w:p>
    <w:p w:rsidR="00B20609" w:rsidP="00B20609" w:rsidRDefault="00B20609" w14:paraId="065C55EF" w14:textId="77777777">
      <w:pPr>
        <w:rPr>
          <w:rFonts w:ascii="Verdana" w:hAnsi="Verdana" w:eastAsia="Verdana" w:cs="Verdana"/>
          <w:sz w:val="18"/>
          <w:szCs w:val="18"/>
          <w:u w:val="single"/>
        </w:rPr>
      </w:pPr>
      <w:r w:rsidRPr="5981DEC0">
        <w:rPr>
          <w:rFonts w:ascii="Verdana" w:hAnsi="Verdana" w:eastAsia="Verdana" w:cs="Verdana"/>
          <w:sz w:val="18"/>
          <w:szCs w:val="18"/>
          <w:u w:val="single"/>
        </w:rPr>
        <w:t>Overkoepelende mededeling</w:t>
      </w:r>
    </w:p>
    <w:p w:rsidR="00B20609" w:rsidP="00B20609" w:rsidRDefault="00B20609" w14:paraId="1F595E2F" w14:textId="77777777">
      <w:pPr>
        <w:rPr>
          <w:rFonts w:ascii="Verdana" w:hAnsi="Verdana" w:eastAsia="Verdana" w:cs="Verdana"/>
          <w:sz w:val="18"/>
          <w:szCs w:val="18"/>
        </w:rPr>
      </w:pPr>
      <w:r w:rsidRPr="5981DEC0">
        <w:rPr>
          <w:rFonts w:ascii="Verdana" w:hAnsi="Verdana" w:eastAsia="Verdana" w:cs="Verdana"/>
          <w:sz w:val="18"/>
          <w:szCs w:val="18"/>
        </w:rPr>
        <w:t>De</w:t>
      </w:r>
      <w:r>
        <w:rPr>
          <w:rFonts w:ascii="Verdana" w:hAnsi="Verdana" w:eastAsia="Verdana" w:cs="Verdana"/>
          <w:sz w:val="18"/>
          <w:szCs w:val="18"/>
        </w:rPr>
        <w:t xml:space="preserve"> Europese</w:t>
      </w:r>
      <w:r w:rsidRPr="5981DEC0">
        <w:rPr>
          <w:rFonts w:ascii="Verdana" w:hAnsi="Verdana" w:eastAsia="Verdana" w:cs="Verdana"/>
          <w:sz w:val="18"/>
          <w:szCs w:val="18"/>
        </w:rPr>
        <w:t xml:space="preserve"> Commissie heeft als onderdeel van het lentepakket een overkoepelende mededeling gepubliceerd waarin zij ingaat op de doelen van het pakket en de bredere context waarin het pakket moet worden bezien.</w:t>
      </w:r>
    </w:p>
    <w:p w:rsidR="00B20609" w:rsidP="00B20609" w:rsidRDefault="00B20609" w14:paraId="427EF8EE" w14:textId="024C0FC0">
      <w:r w:rsidRPr="5981DEC0">
        <w:rPr>
          <w:rFonts w:ascii="Verdana" w:hAnsi="Verdana" w:eastAsia="Verdana" w:cs="Verdana"/>
          <w:sz w:val="18"/>
          <w:szCs w:val="18"/>
        </w:rPr>
        <w:lastRenderedPageBreak/>
        <w:t xml:space="preserve">Allereerst wordt in de mededeling ingegaan op de economische situatie van de Europese Unie (EU), waarbij concurrentievermogen centraal staat. De economische groeicijfers tonen een gematigde, maar consistente groei voor de komende jaren. Tegelijkertijd zijn een volatiel internationaal handelsklimaat en veiligheidsontwikkelingen een risico. De Commissie geeft aan dat economisch beleid dergelijke risico’s kan helpen beperken door het concurrentievermogen te versterken, defensiecapaciteiten op te bouwen en de groene- en digitale transities verder te versnellen. Hiervoor fungeert het </w:t>
      </w:r>
      <w:proofErr w:type="spellStart"/>
      <w:r w:rsidRPr="5981DEC0">
        <w:rPr>
          <w:rFonts w:ascii="Verdana" w:hAnsi="Verdana" w:eastAsia="Verdana" w:cs="Verdana"/>
          <w:i/>
          <w:iCs/>
          <w:sz w:val="18"/>
          <w:szCs w:val="18"/>
        </w:rPr>
        <w:t>Competitiveness</w:t>
      </w:r>
      <w:proofErr w:type="spellEnd"/>
      <w:r w:rsidRPr="5981DEC0">
        <w:rPr>
          <w:rFonts w:ascii="Verdana" w:hAnsi="Verdana" w:eastAsia="Verdana" w:cs="Verdana"/>
          <w:i/>
          <w:iCs/>
          <w:sz w:val="18"/>
          <w:szCs w:val="18"/>
        </w:rPr>
        <w:t xml:space="preserve"> Compass</w:t>
      </w:r>
      <w:r w:rsidRPr="5981DEC0">
        <w:rPr>
          <w:rFonts w:ascii="Verdana" w:hAnsi="Verdana" w:eastAsia="Verdana" w:cs="Verdana"/>
          <w:sz w:val="18"/>
          <w:szCs w:val="18"/>
        </w:rPr>
        <w:t xml:space="preserve"> als primaire leidraad.</w:t>
      </w:r>
    </w:p>
    <w:p w:rsidR="00B20609" w:rsidP="00B20609" w:rsidRDefault="00B20609" w14:paraId="1C20A3B8" w14:textId="15E60B47">
      <w:r w:rsidRPr="5981DEC0">
        <w:rPr>
          <w:rFonts w:ascii="Verdana" w:hAnsi="Verdana" w:eastAsia="Verdana" w:cs="Verdana"/>
          <w:sz w:val="18"/>
          <w:szCs w:val="18"/>
        </w:rPr>
        <w:t xml:space="preserve">Verder gaat de Commissie in op haar aanpak met betrekking tot de landspecifieke aanbevelingen van 2025. Nu het einde van de herstel- en veerkrachtfaciliteit nadert, beweegt de Commissie weg van de ‘spaarzame’ behandeling van de landspecifieke aanbevelingen, naar omvangrijke en gerichte aanbevelingen. </w:t>
      </w:r>
      <w:r>
        <w:rPr>
          <w:rFonts w:ascii="Verdana" w:hAnsi="Verdana" w:eastAsia="Verdana" w:cs="Verdana"/>
          <w:sz w:val="18"/>
          <w:szCs w:val="18"/>
        </w:rPr>
        <w:t xml:space="preserve">De spaarzame behandeling </w:t>
      </w:r>
      <w:r w:rsidRPr="5981DEC0">
        <w:rPr>
          <w:rFonts w:ascii="Verdana" w:hAnsi="Verdana" w:eastAsia="Verdana" w:cs="Verdana"/>
          <w:sz w:val="18"/>
          <w:szCs w:val="18"/>
        </w:rPr>
        <w:t xml:space="preserve">hield in dat de aanbevelingen minder gedetailleerd en gericht werden geformuleerd en in aantal minder waren. Daarnaast is in het kader van simplificatie het gehele pakket aan landspecifieke aanbevelingen van 2019-2024 kritisch beoordeeld. Aanbevelingen die de Commissie niet langer relevant acht, worden niet langer meegenomen in de monitoring. Zodoende heeft de Commissie een gestroomlijnde lijst aan landspecifieke aanbevelingen opgesteld, waarvan zij de uitvoering actief zal monitoren. </w:t>
      </w:r>
    </w:p>
    <w:p w:rsidR="00B20609" w:rsidP="00B20609" w:rsidRDefault="00B20609" w14:paraId="2B359AD8" w14:textId="77777777">
      <w:r w:rsidRPr="5981DEC0">
        <w:rPr>
          <w:rFonts w:ascii="Verdana" w:hAnsi="Verdana" w:eastAsia="Verdana" w:cs="Verdana"/>
          <w:sz w:val="18"/>
          <w:szCs w:val="18"/>
        </w:rPr>
        <w:t xml:space="preserve">De Commissie identificeert </w:t>
      </w:r>
      <w:r>
        <w:rPr>
          <w:rFonts w:ascii="Verdana" w:hAnsi="Verdana" w:eastAsia="Verdana" w:cs="Verdana"/>
          <w:sz w:val="18"/>
          <w:szCs w:val="18"/>
        </w:rPr>
        <w:t>zeven</w:t>
      </w:r>
      <w:r w:rsidRPr="5981DEC0">
        <w:rPr>
          <w:rFonts w:ascii="Verdana" w:hAnsi="Verdana" w:eastAsia="Verdana" w:cs="Verdana"/>
          <w:sz w:val="18"/>
          <w:szCs w:val="18"/>
        </w:rPr>
        <w:t xml:space="preserve"> hoofdthema’s waarbinnen de belangrijkste uitdagingen voor de toekomst liggen, die hierna worden toegelicht.</w:t>
      </w:r>
    </w:p>
    <w:p w:rsidR="00B20609" w:rsidP="00B20609" w:rsidRDefault="00B20609" w14:paraId="42821182" w14:textId="556F4D87">
      <w:r w:rsidRPr="5981DEC0">
        <w:rPr>
          <w:rFonts w:ascii="Verdana" w:hAnsi="Verdana" w:eastAsia="Verdana" w:cs="Verdana"/>
          <w:sz w:val="18"/>
          <w:szCs w:val="18"/>
          <w:u w:val="single"/>
        </w:rPr>
        <w:t>1. Macro-economische ontwikkelingen</w:t>
      </w:r>
    </w:p>
    <w:p w:rsidRPr="00E36750" w:rsidR="00B20609" w:rsidP="00B20609" w:rsidRDefault="00B20609" w14:paraId="2E2A2E18" w14:textId="728E3AB6">
      <w:pPr>
        <w:rPr>
          <w:rFonts w:ascii="Verdana" w:hAnsi="Verdana" w:eastAsia="Verdana" w:cs="Verdana"/>
          <w:sz w:val="18"/>
          <w:szCs w:val="18"/>
        </w:rPr>
      </w:pPr>
      <w:r w:rsidRPr="00E36750">
        <w:rPr>
          <w:rFonts w:ascii="Verdana" w:hAnsi="Verdana" w:eastAsia="Verdana" w:cs="Verdana"/>
          <w:sz w:val="18"/>
          <w:szCs w:val="18"/>
        </w:rPr>
        <w:t xml:space="preserve">De Commissie geeft aan dat ondanks hoge onzekerheid rondom internationale ontwikkelingen, de economie van de EU naar verwachting zal blijven groeien, zij het in een gematigd tempo. </w:t>
      </w:r>
      <w:r w:rsidR="00D51873">
        <w:rPr>
          <w:rFonts w:ascii="Verdana" w:hAnsi="Verdana" w:eastAsia="Verdana" w:cs="Verdana"/>
          <w:sz w:val="18"/>
          <w:szCs w:val="18"/>
        </w:rPr>
        <w:t>D</w:t>
      </w:r>
      <w:r w:rsidRPr="00E36750">
        <w:rPr>
          <w:rFonts w:ascii="Verdana" w:hAnsi="Verdana" w:eastAsia="Verdana" w:cs="Verdana"/>
          <w:sz w:val="18"/>
          <w:szCs w:val="18"/>
        </w:rPr>
        <w:t xml:space="preserve">e Commissie </w:t>
      </w:r>
      <w:r w:rsidR="00D51873">
        <w:rPr>
          <w:rFonts w:ascii="Verdana" w:hAnsi="Verdana" w:eastAsia="Verdana" w:cs="Verdana"/>
          <w:sz w:val="18"/>
          <w:szCs w:val="18"/>
        </w:rPr>
        <w:t xml:space="preserve">ziet </w:t>
      </w:r>
      <w:r w:rsidRPr="00E36750">
        <w:rPr>
          <w:rFonts w:ascii="Verdana" w:hAnsi="Verdana" w:eastAsia="Verdana" w:cs="Verdana"/>
          <w:sz w:val="18"/>
          <w:szCs w:val="18"/>
        </w:rPr>
        <w:t>dat de financiële markten veerkrachtig zijn gebleven tegenover economische en geopolitieke uitdagingen. Hierbij benoemt de Commissie het belang van een evenwichtig</w:t>
      </w:r>
      <w:r>
        <w:rPr>
          <w:rFonts w:ascii="Verdana" w:hAnsi="Verdana" w:eastAsia="Verdana" w:cs="Verdana"/>
          <w:sz w:val="18"/>
          <w:szCs w:val="18"/>
        </w:rPr>
        <w:t>e</w:t>
      </w:r>
      <w:r w:rsidRPr="00E36750">
        <w:rPr>
          <w:rFonts w:ascii="Verdana" w:hAnsi="Verdana" w:eastAsia="Verdana" w:cs="Verdana"/>
          <w:sz w:val="18"/>
          <w:szCs w:val="18"/>
        </w:rPr>
        <w:t xml:space="preserve"> en toekomstbestendige belastingmix in lidstaten en van het ontwikkelen van een spaar- en investeringsunie.</w:t>
      </w:r>
    </w:p>
    <w:p w:rsidR="00B20609" w:rsidP="00B20609" w:rsidRDefault="00B20609" w14:paraId="23371408" w14:textId="77777777">
      <w:r w:rsidRPr="5981DEC0">
        <w:rPr>
          <w:rFonts w:ascii="Verdana" w:hAnsi="Verdana" w:eastAsia="Verdana" w:cs="Verdana"/>
          <w:sz w:val="18"/>
          <w:szCs w:val="18"/>
          <w:u w:val="single"/>
        </w:rPr>
        <w:t>2. Innovatie</w:t>
      </w:r>
    </w:p>
    <w:p w:rsidR="00B20609" w:rsidP="00B20609" w:rsidRDefault="00B20609" w14:paraId="13082B0F" w14:textId="77777777">
      <w:pPr>
        <w:rPr>
          <w:rFonts w:ascii="Verdana" w:hAnsi="Verdana" w:eastAsia="Verdana" w:cs="Verdana"/>
          <w:sz w:val="18"/>
          <w:szCs w:val="18"/>
        </w:rPr>
      </w:pPr>
      <w:r w:rsidRPr="5981DEC0">
        <w:rPr>
          <w:rFonts w:ascii="Verdana" w:hAnsi="Verdana" w:eastAsia="Verdana" w:cs="Verdana"/>
          <w:sz w:val="18"/>
          <w:szCs w:val="18"/>
        </w:rPr>
        <w:t>Om de innovatiekloof te dichten geeft de Commissie aan dat meer investeringen, talent, een sterke samenwerking tussen wetenschap en bedrijfsleven</w:t>
      </w:r>
      <w:r>
        <w:rPr>
          <w:rFonts w:ascii="Verdana" w:hAnsi="Verdana" w:eastAsia="Verdana" w:cs="Verdana"/>
          <w:sz w:val="18"/>
          <w:szCs w:val="18"/>
        </w:rPr>
        <w:t>,</w:t>
      </w:r>
      <w:r w:rsidRPr="5981DEC0">
        <w:rPr>
          <w:rFonts w:ascii="Verdana" w:hAnsi="Verdana" w:eastAsia="Verdana" w:cs="Verdana"/>
          <w:sz w:val="18"/>
          <w:szCs w:val="18"/>
        </w:rPr>
        <w:t xml:space="preserve"> en betere beleidscoördinatie nodig zijn. </w:t>
      </w:r>
      <w:r>
        <w:rPr>
          <w:rFonts w:ascii="Verdana" w:hAnsi="Verdana" w:eastAsia="Verdana" w:cs="Verdana"/>
          <w:sz w:val="18"/>
          <w:szCs w:val="18"/>
        </w:rPr>
        <w:t xml:space="preserve">Volgens de Commissie leiden gefragmenteerde publieke investeringen en onvoldoende private onderzoek en innovatie (O&amp;I) tot een beperking van het innovatiepotentieel van de EU. De Commissie ziet een sterkere samenwerking tussen onderzoekers en bedrijven, een coherent innovatiebeleid en het adresseren van een tekort aan talent in STEM-gebieden als essentiële aspecten om de innovatiekloof te dichten. De Commissie zet in haar eigen woorden onderzoek en innovatie centraal in de economie. De landspecifieke aanbevelingen van 2025 roepen lidstaten op om hun inspanningen te intensiveren om de innovatiekloof te dichten. </w:t>
      </w:r>
    </w:p>
    <w:p w:rsidR="00B20609" w:rsidP="00B20609" w:rsidRDefault="00B20609" w14:paraId="3B68A21C" w14:textId="77777777">
      <w:r w:rsidRPr="5981DEC0">
        <w:rPr>
          <w:rFonts w:ascii="Verdana" w:hAnsi="Verdana" w:eastAsia="Verdana" w:cs="Verdana"/>
          <w:sz w:val="18"/>
          <w:szCs w:val="18"/>
          <w:u w:val="single"/>
        </w:rPr>
        <w:t xml:space="preserve">3. </w:t>
      </w:r>
      <w:proofErr w:type="spellStart"/>
      <w:r w:rsidRPr="5981DEC0">
        <w:rPr>
          <w:rFonts w:ascii="Verdana" w:hAnsi="Verdana" w:eastAsia="Verdana" w:cs="Verdana"/>
          <w:sz w:val="18"/>
          <w:szCs w:val="18"/>
          <w:u w:val="single"/>
        </w:rPr>
        <w:t>Decarbonisatie</w:t>
      </w:r>
      <w:proofErr w:type="spellEnd"/>
      <w:r w:rsidRPr="5981DEC0">
        <w:rPr>
          <w:rFonts w:ascii="Verdana" w:hAnsi="Verdana" w:eastAsia="Verdana" w:cs="Verdana"/>
          <w:sz w:val="18"/>
          <w:szCs w:val="18"/>
          <w:u w:val="single"/>
        </w:rPr>
        <w:t xml:space="preserve">, </w:t>
      </w:r>
      <w:r>
        <w:rPr>
          <w:rFonts w:ascii="Verdana" w:hAnsi="Verdana" w:eastAsia="Verdana" w:cs="Verdana"/>
          <w:sz w:val="18"/>
          <w:szCs w:val="18"/>
          <w:u w:val="single"/>
        </w:rPr>
        <w:t>concurrentievermogen en veiligheid</w:t>
      </w:r>
    </w:p>
    <w:p w:rsidR="00B20609" w:rsidP="00B20609" w:rsidRDefault="00B20609" w14:paraId="381FE6D6" w14:textId="77777777">
      <w:pPr>
        <w:rPr>
          <w:rFonts w:ascii="Verdana" w:hAnsi="Verdana" w:eastAsia="Verdana" w:cs="Verdana"/>
          <w:sz w:val="18"/>
          <w:szCs w:val="18"/>
          <w:u w:val="single"/>
        </w:rPr>
      </w:pPr>
      <w:r>
        <w:rPr>
          <w:rFonts w:ascii="Verdana" w:hAnsi="Verdana" w:eastAsia="Verdana" w:cs="Verdana"/>
          <w:sz w:val="18"/>
          <w:szCs w:val="18"/>
        </w:rPr>
        <w:t xml:space="preserve">Het is volgens de Commissie cruciaal om een betaalbare energietransitie voor Europese consumenten en industrie te bewerkstelligen. Lidstaten hebben stappen gezet richting een geïntegreerde energiemarkt, en de REPowerEU hoofdstukken van de herstel- en veerkrachtplannen zetten verdere stappen om het energiesysteem de </w:t>
      </w:r>
      <w:proofErr w:type="spellStart"/>
      <w:r>
        <w:rPr>
          <w:rFonts w:ascii="Verdana" w:hAnsi="Verdana" w:eastAsia="Verdana" w:cs="Verdana"/>
          <w:sz w:val="18"/>
          <w:szCs w:val="18"/>
        </w:rPr>
        <w:t>decarboniseren</w:t>
      </w:r>
      <w:proofErr w:type="spellEnd"/>
      <w:r>
        <w:rPr>
          <w:rFonts w:ascii="Verdana" w:hAnsi="Verdana" w:eastAsia="Verdana" w:cs="Verdana"/>
          <w:sz w:val="18"/>
          <w:szCs w:val="18"/>
        </w:rPr>
        <w:t xml:space="preserve">. De focus dient volgens de Commissie te blijven liggen op het verminderen van overmatige afhankelijkheden en de versterking van de energiezekerheid. Geïmporteerde Russische energie blijft een groot aandeel in de energiemix van de EU. De Commissie roept op tot voortdurende actie op nationaal niveau om energie-efficiëntie in alle sectoren te verbeteren, het gebruik van hernieuwbare energie te versnellen en te diversifiëren naar betrouwbare partners. Daarnaast noemt de Commissie een efficiënter gebruik van bronnen en de bevordering van het circulaire gebruik van materialen als factoren die bijdragen aan </w:t>
      </w:r>
      <w:proofErr w:type="spellStart"/>
      <w:r>
        <w:rPr>
          <w:rFonts w:ascii="Verdana" w:hAnsi="Verdana" w:eastAsia="Verdana" w:cs="Verdana"/>
          <w:sz w:val="18"/>
          <w:szCs w:val="18"/>
        </w:rPr>
        <w:t>decarbonisatie</w:t>
      </w:r>
      <w:proofErr w:type="spellEnd"/>
      <w:r>
        <w:rPr>
          <w:rFonts w:ascii="Verdana" w:hAnsi="Verdana" w:eastAsia="Verdana" w:cs="Verdana"/>
          <w:sz w:val="18"/>
          <w:szCs w:val="18"/>
        </w:rPr>
        <w:t xml:space="preserve">, het verbeteren van het concurrentievermogen en het versterken van de economische zekerheid. De Commissie geeft aan dat de EU en haar lidstaten de transitie naar een klimaat neutrale economie moeten bevorderen en tegelijkertijd ervoor moeten zorgen dat hun industrie concurrerend blijft. Tenslotte geeft de Commissie aan dat aanpassing aan klimaatverandering een dringende prioriteit blijft voor de EU, aangezien dit cruciaal is voor het veiligstellen van hulpbronnen en het vergroten van welvaart en veiligheid. </w:t>
      </w:r>
    </w:p>
    <w:p w:rsidR="00B20609" w:rsidP="00B20609" w:rsidRDefault="00B20609" w14:paraId="3AE77157" w14:textId="77777777">
      <w:pPr>
        <w:rPr>
          <w:rFonts w:ascii="Verdana" w:hAnsi="Verdana" w:eastAsia="Verdana" w:cs="Verdana"/>
          <w:sz w:val="18"/>
          <w:szCs w:val="18"/>
          <w:u w:val="single"/>
        </w:rPr>
      </w:pPr>
      <w:r>
        <w:rPr>
          <w:rFonts w:ascii="Verdana" w:hAnsi="Verdana" w:eastAsia="Verdana" w:cs="Verdana"/>
          <w:sz w:val="18"/>
          <w:szCs w:val="18"/>
          <w:u w:val="single"/>
        </w:rPr>
        <w:t xml:space="preserve">4. Simplificatie en vereenvoudiging van regelgeving </w:t>
      </w:r>
    </w:p>
    <w:p w:rsidR="00B20609" w:rsidP="00B20609" w:rsidRDefault="00B20609" w14:paraId="5BF3E906" w14:textId="77777777">
      <w:pPr>
        <w:rPr>
          <w:rFonts w:ascii="Verdana" w:hAnsi="Verdana" w:eastAsia="Verdana" w:cs="Verdana"/>
          <w:sz w:val="18"/>
          <w:szCs w:val="18"/>
          <w:u w:val="single"/>
        </w:rPr>
      </w:pPr>
      <w:r>
        <w:rPr>
          <w:rFonts w:ascii="Verdana" w:hAnsi="Verdana" w:eastAsia="Verdana" w:cs="Verdana"/>
          <w:sz w:val="18"/>
          <w:szCs w:val="18"/>
        </w:rPr>
        <w:lastRenderedPageBreak/>
        <w:t>De</w:t>
      </w:r>
      <w:r w:rsidRPr="5981DEC0">
        <w:rPr>
          <w:rFonts w:ascii="Verdana" w:hAnsi="Verdana" w:eastAsia="Verdana" w:cs="Verdana"/>
          <w:sz w:val="18"/>
          <w:szCs w:val="18"/>
        </w:rPr>
        <w:t xml:space="preserve"> Commissie </w:t>
      </w:r>
      <w:r>
        <w:rPr>
          <w:rFonts w:ascii="Verdana" w:hAnsi="Verdana" w:eastAsia="Verdana" w:cs="Verdana"/>
          <w:sz w:val="18"/>
          <w:szCs w:val="18"/>
        </w:rPr>
        <w:t xml:space="preserve">geeft aan dat versimpeling van regelgeving </w:t>
      </w:r>
      <w:r w:rsidRPr="5981DEC0">
        <w:rPr>
          <w:rFonts w:ascii="Verdana" w:hAnsi="Verdana" w:eastAsia="Verdana" w:cs="Verdana"/>
          <w:sz w:val="18"/>
          <w:szCs w:val="18"/>
        </w:rPr>
        <w:t xml:space="preserve">en het verminderen van administratieve lasten essentieel </w:t>
      </w:r>
      <w:r>
        <w:rPr>
          <w:rFonts w:ascii="Verdana" w:hAnsi="Verdana" w:eastAsia="Verdana" w:cs="Verdana"/>
          <w:sz w:val="18"/>
          <w:szCs w:val="18"/>
        </w:rPr>
        <w:t xml:space="preserve">zijn </w:t>
      </w:r>
      <w:r w:rsidRPr="5981DEC0">
        <w:rPr>
          <w:rFonts w:ascii="Verdana" w:hAnsi="Verdana" w:eastAsia="Verdana" w:cs="Verdana"/>
          <w:sz w:val="18"/>
          <w:szCs w:val="18"/>
        </w:rPr>
        <w:t xml:space="preserve">voor het bedrijfsleven </w:t>
      </w:r>
      <w:r>
        <w:rPr>
          <w:rFonts w:ascii="Verdana" w:hAnsi="Verdana" w:eastAsia="Verdana" w:cs="Verdana"/>
          <w:sz w:val="18"/>
          <w:szCs w:val="18"/>
        </w:rPr>
        <w:t xml:space="preserve">en het bevorderen van welvaart </w:t>
      </w:r>
      <w:r w:rsidRPr="5981DEC0">
        <w:rPr>
          <w:rFonts w:ascii="Verdana" w:hAnsi="Verdana" w:eastAsia="Verdana" w:cs="Verdana"/>
          <w:sz w:val="18"/>
          <w:szCs w:val="18"/>
        </w:rPr>
        <w:t xml:space="preserve">in de EU. </w:t>
      </w:r>
      <w:r>
        <w:rPr>
          <w:rFonts w:ascii="Verdana" w:hAnsi="Verdana" w:eastAsia="Verdana" w:cs="Verdana"/>
          <w:sz w:val="18"/>
          <w:szCs w:val="18"/>
        </w:rPr>
        <w:t xml:space="preserve">De Commissie geeft aan dat lidstaten ook een verantwoordelijkheid hebben om bij te dragen aan simplificatie inspanningen door wetgevende en administratieve hervormingen. Lidstaten worden met de landspecifieke aanbevelingen van 2025 opgeroepen om administratieve procedures en regelgevingskaders in alle sectoren te vereenvoudigen. </w:t>
      </w:r>
    </w:p>
    <w:p w:rsidR="00B20609" w:rsidP="00B20609" w:rsidRDefault="00B20609" w14:paraId="373F83E4" w14:textId="77777777">
      <w:pPr>
        <w:rPr>
          <w:rFonts w:ascii="Verdana" w:hAnsi="Verdana" w:eastAsia="Verdana" w:cs="Verdana"/>
          <w:sz w:val="18"/>
          <w:szCs w:val="18"/>
          <w:u w:val="single"/>
        </w:rPr>
      </w:pPr>
      <w:r>
        <w:rPr>
          <w:rFonts w:ascii="Verdana" w:hAnsi="Verdana" w:eastAsia="Verdana" w:cs="Verdana"/>
          <w:sz w:val="18"/>
          <w:szCs w:val="18"/>
          <w:u w:val="single"/>
        </w:rPr>
        <w:t>5. Optimaal gebruik maken van de Europese interne markt</w:t>
      </w:r>
    </w:p>
    <w:p w:rsidR="00B20609" w:rsidP="00B20609" w:rsidRDefault="00B20609" w14:paraId="1AB38D35" w14:textId="77777777">
      <w:pPr>
        <w:rPr>
          <w:rFonts w:ascii="Verdana" w:hAnsi="Verdana" w:eastAsia="Verdana" w:cs="Verdana"/>
          <w:sz w:val="18"/>
          <w:szCs w:val="18"/>
        </w:rPr>
      </w:pPr>
      <w:r>
        <w:rPr>
          <w:rFonts w:ascii="Verdana" w:hAnsi="Verdana" w:eastAsia="Verdana" w:cs="Verdana"/>
          <w:sz w:val="18"/>
          <w:szCs w:val="18"/>
        </w:rPr>
        <w:t xml:space="preserve">Om optimaal gebruik te maken van de Europese interne markt, geeft de Commissie aan dat resterende belemmeringen moeten worden weggenomen die grensoverschrijdende bedrijvigheid en investeringen in de weg staan. Hoewel de interne markt groei en welvaart heeft gestimuleerd, is de markt nog steeds onvoldoende geïntegreerd. Het mkb, startende ondernemingen en </w:t>
      </w:r>
      <w:proofErr w:type="spellStart"/>
      <w:r>
        <w:rPr>
          <w:rFonts w:ascii="Verdana" w:hAnsi="Verdana" w:eastAsia="Verdana" w:cs="Verdana"/>
          <w:sz w:val="18"/>
          <w:szCs w:val="18"/>
        </w:rPr>
        <w:t>scale</w:t>
      </w:r>
      <w:proofErr w:type="spellEnd"/>
      <w:r>
        <w:rPr>
          <w:rFonts w:ascii="Verdana" w:hAnsi="Verdana" w:eastAsia="Verdana" w:cs="Verdana"/>
          <w:sz w:val="18"/>
          <w:szCs w:val="18"/>
        </w:rPr>
        <w:t>-ups worden geconfronteerd met obstakels zoals omslachtige administratie, beperkende regelgeving, late betalingen en beperkte toegang tot financiering. Verder verzwakt de ontoereikende digitale, energie- en vervoersinfrastructuur het concurrentievermogen. Om deze belemmeringen aan te pakken, heeft de Commissie de strategie voor de interne markt gepresenteerd</w:t>
      </w:r>
      <w:r>
        <w:rPr>
          <w:rStyle w:val="Voetnootmarkering"/>
          <w:rFonts w:ascii="Verdana" w:hAnsi="Verdana" w:eastAsia="Verdana" w:cs="Verdana"/>
          <w:sz w:val="18"/>
          <w:szCs w:val="18"/>
        </w:rPr>
        <w:footnoteReference w:id="4"/>
      </w:r>
      <w:r>
        <w:rPr>
          <w:rFonts w:ascii="Verdana" w:hAnsi="Verdana" w:eastAsia="Verdana" w:cs="Verdana"/>
          <w:sz w:val="18"/>
          <w:szCs w:val="18"/>
        </w:rPr>
        <w:t xml:space="preserve">, waarin een reeks acties op het gebied van concurrentievermogen uiteen wordt gezet voor een soepelere werking van de Europese interne markt. In dit kader wordt ook de rechtsstaat door de Commissie benoemt. De rechtsstaat heeft een belangrijke rol in de werking van de economie van de EU. Waar relevant, en voor zover het niet al wordt gedekt door de herstel- en veerkrachtplannen en in aanvulling op het rechtsstaatverslag, roepen de landspecifieke aanbevelingen de lidstaten op om de efficiëntie van rechtssystemen te vergroten en corruptiebestrijding te versterken. </w:t>
      </w:r>
    </w:p>
    <w:p w:rsidRPr="007A2775" w:rsidR="00B20609" w:rsidP="00B20609" w:rsidRDefault="00B20609" w14:paraId="753CF9C0" w14:textId="77777777">
      <w:pPr>
        <w:rPr>
          <w:rFonts w:ascii="Verdana" w:hAnsi="Verdana" w:eastAsia="Verdana" w:cs="Verdana"/>
          <w:sz w:val="18"/>
          <w:szCs w:val="18"/>
          <w:u w:val="single"/>
        </w:rPr>
      </w:pPr>
      <w:r w:rsidRPr="007A2775">
        <w:rPr>
          <w:rFonts w:ascii="Verdana" w:hAnsi="Verdana" w:eastAsia="Verdana" w:cs="Verdana"/>
          <w:sz w:val="18"/>
          <w:szCs w:val="18"/>
          <w:u w:val="single"/>
        </w:rPr>
        <w:t>6. Financiering van het concurrentievermogen en een Spaar- en Investeringsunie</w:t>
      </w:r>
    </w:p>
    <w:p w:rsidRPr="007A2775" w:rsidR="00B20609" w:rsidP="00B20609" w:rsidRDefault="00B20609" w14:paraId="3F46303D" w14:textId="77777777">
      <w:pPr>
        <w:rPr>
          <w:rFonts w:ascii="Verdana" w:hAnsi="Verdana" w:eastAsia="Verdana" w:cs="Verdana"/>
          <w:sz w:val="18"/>
          <w:szCs w:val="18"/>
        </w:rPr>
      </w:pPr>
      <w:r>
        <w:rPr>
          <w:rFonts w:ascii="Verdana" w:hAnsi="Verdana" w:eastAsia="Verdana" w:cs="Verdana"/>
          <w:sz w:val="18"/>
          <w:szCs w:val="18"/>
        </w:rPr>
        <w:t>De EU-kapitaalmarkten blijven naar internationale standaarden relatief onderontwikkeld en leveren over het algemeen slechts een kleine bijdrage aan de externe financiering van bedrijven. De Commissie geeft aan dat de ontwikkeling van een Spaar- en Investeringsunie (SIU) het doel heeft om de manier te verbeteren waarop het financiële stelsel van de EU bijdraagt aan de vermogenscreatie van burgers en aan investeringen in strategische prioriteiten. De SIU, die voortbouwt op de voortgang die al is geboekt in het kader van de actieplannen voor de kapitaalmarktunie, heeft als doel om de integratie van risicodeling op de kapitaalmarkten te verdiepen. Daarnaast is de SIU gericht op de verdere ontwikkeling van de Bankenunie. In dit kader zien de landspecifieke aanbevelingen van 2025 onder andere op gerichte acties op nationaal niveau om de toegang tot financiering te verbeteren.</w:t>
      </w:r>
    </w:p>
    <w:p w:rsidR="00B20609" w:rsidP="00B20609" w:rsidRDefault="00B20609" w14:paraId="02B566CF" w14:textId="77777777">
      <w:r>
        <w:rPr>
          <w:rFonts w:ascii="Verdana" w:hAnsi="Verdana" w:eastAsia="Verdana" w:cs="Verdana"/>
          <w:sz w:val="18"/>
          <w:szCs w:val="18"/>
          <w:u w:val="single"/>
        </w:rPr>
        <w:t>7</w:t>
      </w:r>
      <w:r w:rsidRPr="5981DEC0">
        <w:rPr>
          <w:rFonts w:ascii="Verdana" w:hAnsi="Verdana" w:eastAsia="Verdana" w:cs="Verdana"/>
          <w:sz w:val="18"/>
          <w:szCs w:val="18"/>
          <w:u w:val="single"/>
        </w:rPr>
        <w:t>. Vaardigheden, kwaliteitsbanen en sociale rechtvaardigheid</w:t>
      </w:r>
    </w:p>
    <w:p w:rsidR="00B20609" w:rsidP="00B20609" w:rsidRDefault="00B20609" w14:paraId="0435D417" w14:textId="77777777">
      <w:r w:rsidRPr="775F07AD">
        <w:rPr>
          <w:rFonts w:ascii="Verdana" w:hAnsi="Verdana" w:eastAsia="Verdana" w:cs="Verdana"/>
          <w:sz w:val="18"/>
          <w:szCs w:val="18"/>
        </w:rPr>
        <w:t xml:space="preserve">De </w:t>
      </w:r>
      <w:r>
        <w:rPr>
          <w:rFonts w:ascii="Verdana" w:hAnsi="Verdana" w:eastAsia="Verdana" w:cs="Verdana"/>
          <w:sz w:val="18"/>
          <w:szCs w:val="18"/>
        </w:rPr>
        <w:t xml:space="preserve">Europese </w:t>
      </w:r>
      <w:r w:rsidRPr="775F07AD">
        <w:rPr>
          <w:rFonts w:ascii="Verdana" w:hAnsi="Verdana" w:eastAsia="Verdana" w:cs="Verdana"/>
          <w:sz w:val="18"/>
          <w:szCs w:val="18"/>
        </w:rPr>
        <w:t xml:space="preserve">arbeidsmarkt is volgens de Commissie veerkrachtig, met </w:t>
      </w:r>
      <w:r>
        <w:rPr>
          <w:rFonts w:ascii="Verdana" w:hAnsi="Verdana" w:eastAsia="Verdana" w:cs="Verdana"/>
          <w:sz w:val="18"/>
          <w:szCs w:val="18"/>
        </w:rPr>
        <w:t xml:space="preserve">een </w:t>
      </w:r>
      <w:r w:rsidRPr="775F07AD">
        <w:rPr>
          <w:rFonts w:ascii="Verdana" w:hAnsi="Verdana" w:eastAsia="Verdana" w:cs="Verdana"/>
          <w:sz w:val="18"/>
          <w:szCs w:val="18"/>
        </w:rPr>
        <w:t xml:space="preserve">historisch lage werkloosheid. Tegelijkertijd blijven de arbeidsmarkttekorten hoog en zullen deze naar verwachting toenemen. Dit vormt een investeringsbarrière voor bedrijven. De Commissie stelt dat meer beleidsactie nodig is om de arbeidsmarktparticipatie te verbeteren, met bijzondere aandacht voor ondervertegenwoordigde groepen. De Commissie noemt hierbij de aanstaande </w:t>
      </w:r>
      <w:proofErr w:type="spellStart"/>
      <w:r w:rsidRPr="5981DEC0">
        <w:rPr>
          <w:rFonts w:ascii="Verdana" w:hAnsi="Verdana" w:eastAsia="Verdana" w:cs="Verdana"/>
          <w:i/>
          <w:iCs/>
          <w:sz w:val="18"/>
          <w:szCs w:val="18"/>
        </w:rPr>
        <w:t>Quality</w:t>
      </w:r>
      <w:proofErr w:type="spellEnd"/>
      <w:r w:rsidRPr="5981DEC0">
        <w:rPr>
          <w:rFonts w:ascii="Verdana" w:hAnsi="Verdana" w:eastAsia="Verdana" w:cs="Verdana"/>
          <w:i/>
          <w:iCs/>
          <w:sz w:val="18"/>
          <w:szCs w:val="18"/>
        </w:rPr>
        <w:t xml:space="preserve"> Jobs </w:t>
      </w:r>
      <w:proofErr w:type="spellStart"/>
      <w:r w:rsidRPr="5981DEC0">
        <w:rPr>
          <w:rFonts w:ascii="Verdana" w:hAnsi="Verdana" w:eastAsia="Verdana" w:cs="Verdana"/>
          <w:i/>
          <w:iCs/>
          <w:sz w:val="18"/>
          <w:szCs w:val="18"/>
        </w:rPr>
        <w:t>Roadmap</w:t>
      </w:r>
      <w:proofErr w:type="spellEnd"/>
      <w:r w:rsidRPr="2333671E">
        <w:rPr>
          <w:rStyle w:val="Voetnootmarkering"/>
          <w:rFonts w:ascii="Verdana" w:hAnsi="Verdana" w:eastAsia="Verdana" w:cs="Verdana"/>
          <w:sz w:val="16"/>
          <w:szCs w:val="16"/>
        </w:rPr>
        <w:footnoteReference w:id="5"/>
      </w:r>
      <w:r w:rsidRPr="2333671E">
        <w:rPr>
          <w:rFonts w:ascii="Verdana" w:hAnsi="Verdana" w:eastAsia="Verdana" w:cs="Verdana"/>
          <w:sz w:val="16"/>
          <w:szCs w:val="16"/>
        </w:rPr>
        <w:t xml:space="preserve"> </w:t>
      </w:r>
      <w:r w:rsidRPr="775F07AD">
        <w:rPr>
          <w:rFonts w:ascii="Verdana" w:hAnsi="Verdana" w:eastAsia="Verdana" w:cs="Verdana"/>
          <w:sz w:val="18"/>
          <w:szCs w:val="18"/>
        </w:rPr>
        <w:t>en het belang van gecoördineerde inspanningen op EU-niveau om legale migratie te bevorderen om aan de behoeften van de EU-arbeidsmarkt te voldoen. Daarnaast benadrukt de Commissie het belang van het stimuleren van menselijk kapitaal</w:t>
      </w:r>
      <w:r>
        <w:rPr>
          <w:rFonts w:ascii="Verdana" w:hAnsi="Verdana" w:eastAsia="Verdana" w:cs="Verdana"/>
          <w:sz w:val="18"/>
          <w:szCs w:val="18"/>
        </w:rPr>
        <w:t xml:space="preserve"> voor een concurrerend, welvarend en inclusief Europa</w:t>
      </w:r>
      <w:r w:rsidRPr="775F07AD">
        <w:rPr>
          <w:rFonts w:ascii="Verdana" w:hAnsi="Verdana" w:eastAsia="Verdana" w:cs="Verdana"/>
          <w:sz w:val="18"/>
          <w:szCs w:val="18"/>
        </w:rPr>
        <w:t xml:space="preserve">. In dit kader worden de </w:t>
      </w:r>
      <w:r w:rsidRPr="5981DEC0">
        <w:rPr>
          <w:rFonts w:ascii="Verdana" w:hAnsi="Verdana" w:eastAsia="Verdana" w:cs="Verdana"/>
          <w:i/>
          <w:iCs/>
          <w:sz w:val="18"/>
          <w:szCs w:val="18"/>
        </w:rPr>
        <w:t>Union of Skills</w:t>
      </w:r>
      <w:r w:rsidRPr="775F07AD">
        <w:rPr>
          <w:rFonts w:ascii="Verdana" w:hAnsi="Verdana" w:eastAsia="Verdana" w:cs="Verdana"/>
          <w:sz w:val="18"/>
          <w:szCs w:val="18"/>
        </w:rPr>
        <w:t xml:space="preserve"> en het voorgestelde </w:t>
      </w:r>
      <w:r w:rsidRPr="5981DEC0">
        <w:rPr>
          <w:rFonts w:ascii="Verdana" w:hAnsi="Verdana" w:eastAsia="Verdana" w:cs="Verdana"/>
          <w:i/>
          <w:iCs/>
          <w:sz w:val="18"/>
          <w:szCs w:val="18"/>
        </w:rPr>
        <w:t>Action Plan on Basic Skills</w:t>
      </w:r>
      <w:r w:rsidRPr="5981DEC0">
        <w:rPr>
          <w:rStyle w:val="Voetnootmarkering"/>
          <w:rFonts w:ascii="Verdana" w:hAnsi="Verdana" w:eastAsia="Verdana" w:cs="Verdana"/>
          <w:i/>
          <w:iCs/>
          <w:sz w:val="18"/>
          <w:szCs w:val="18"/>
        </w:rPr>
        <w:footnoteReference w:id="6"/>
      </w:r>
      <w:r w:rsidRPr="5981DEC0">
        <w:rPr>
          <w:rFonts w:ascii="Verdana" w:hAnsi="Verdana" w:eastAsia="Verdana" w:cs="Verdana"/>
          <w:i/>
          <w:iCs/>
          <w:sz w:val="18"/>
          <w:szCs w:val="18"/>
        </w:rPr>
        <w:t xml:space="preserve"> </w:t>
      </w:r>
      <w:r w:rsidRPr="5533F14D">
        <w:rPr>
          <w:rFonts w:ascii="Verdana" w:hAnsi="Verdana" w:eastAsia="Verdana" w:cs="Verdana"/>
          <w:sz w:val="18"/>
          <w:szCs w:val="18"/>
        </w:rPr>
        <w:t>genoemd.</w:t>
      </w:r>
      <w:r w:rsidRPr="775F07AD">
        <w:rPr>
          <w:rFonts w:ascii="Verdana" w:hAnsi="Verdana" w:eastAsia="Verdana" w:cs="Verdana"/>
          <w:sz w:val="18"/>
          <w:szCs w:val="18"/>
        </w:rPr>
        <w:t xml:space="preserve"> </w:t>
      </w:r>
      <w:r>
        <w:rPr>
          <w:rFonts w:ascii="Verdana" w:hAnsi="Verdana" w:eastAsia="Verdana" w:cs="Verdana"/>
          <w:sz w:val="18"/>
          <w:szCs w:val="18"/>
        </w:rPr>
        <w:t>Tenslotte geeft de Commissie aan dat de unieke sociale markteconomie van Europa sterk afhankelijk is van veerkracht en eerlijkheid. In de landspecifieke aanbevelingen 2025 wordt het belang benadrukt van efficiënte socialezekerheidsstelsels en pensioensystemen en dat toegang tot betaalbare huisvesting en maatschappelijke diensten moet worden bevorderd.</w:t>
      </w:r>
    </w:p>
    <w:p w:rsidR="00B20609" w:rsidP="00B20609" w:rsidRDefault="00B20609" w14:paraId="20163560" w14:textId="77777777">
      <w:r w:rsidRPr="775F07AD">
        <w:rPr>
          <w:rFonts w:ascii="Verdana" w:hAnsi="Verdana" w:eastAsia="Verdana" w:cs="Verdana"/>
          <w:sz w:val="18"/>
          <w:szCs w:val="18"/>
        </w:rPr>
        <w:lastRenderedPageBreak/>
        <w:t>In een separaat stuk binnen dit hoofdthema staat de Commissie stil bij de beleidsuitdagingen voor de woningmarkt en de kloof tussen vraag en aanbod van woningen, wat leidt tot hoge prijzen en een beperkte (</w:t>
      </w:r>
      <w:proofErr w:type="spellStart"/>
      <w:r w:rsidRPr="775F07AD">
        <w:rPr>
          <w:rFonts w:ascii="Verdana" w:hAnsi="Verdana" w:eastAsia="Verdana" w:cs="Verdana"/>
          <w:sz w:val="18"/>
          <w:szCs w:val="18"/>
        </w:rPr>
        <w:t>arbeids</w:t>
      </w:r>
      <w:proofErr w:type="spellEnd"/>
      <w:r w:rsidRPr="775F07AD">
        <w:rPr>
          <w:rFonts w:ascii="Verdana" w:hAnsi="Verdana" w:eastAsia="Verdana" w:cs="Verdana"/>
          <w:sz w:val="18"/>
          <w:szCs w:val="18"/>
        </w:rPr>
        <w:t xml:space="preserve">)mobiliteit. Zodoende zijn hervormingen en investeringen nodig. Het </w:t>
      </w:r>
      <w:r w:rsidRPr="5981DEC0">
        <w:rPr>
          <w:rFonts w:ascii="Verdana" w:hAnsi="Verdana" w:eastAsia="Verdana" w:cs="Verdana"/>
          <w:i/>
          <w:iCs/>
          <w:sz w:val="18"/>
          <w:szCs w:val="18"/>
        </w:rPr>
        <w:t xml:space="preserve">European </w:t>
      </w:r>
      <w:proofErr w:type="spellStart"/>
      <w:r w:rsidRPr="5981DEC0">
        <w:rPr>
          <w:rFonts w:ascii="Verdana" w:hAnsi="Verdana" w:eastAsia="Verdana" w:cs="Verdana"/>
          <w:i/>
          <w:iCs/>
          <w:sz w:val="18"/>
          <w:szCs w:val="18"/>
        </w:rPr>
        <w:t>Affordable</w:t>
      </w:r>
      <w:proofErr w:type="spellEnd"/>
      <w:r w:rsidRPr="5981DEC0">
        <w:rPr>
          <w:rFonts w:ascii="Verdana" w:hAnsi="Verdana" w:eastAsia="Verdana" w:cs="Verdana"/>
          <w:i/>
          <w:iCs/>
          <w:sz w:val="18"/>
          <w:szCs w:val="18"/>
        </w:rPr>
        <w:t xml:space="preserve"> </w:t>
      </w:r>
      <w:proofErr w:type="spellStart"/>
      <w:r w:rsidRPr="5981DEC0">
        <w:rPr>
          <w:rFonts w:ascii="Verdana" w:hAnsi="Verdana" w:eastAsia="Verdana" w:cs="Verdana"/>
          <w:i/>
          <w:iCs/>
          <w:sz w:val="18"/>
          <w:szCs w:val="18"/>
        </w:rPr>
        <w:t>Housing</w:t>
      </w:r>
      <w:proofErr w:type="spellEnd"/>
      <w:r w:rsidRPr="775F07AD">
        <w:rPr>
          <w:rFonts w:ascii="Verdana" w:hAnsi="Verdana" w:eastAsia="Verdana" w:cs="Verdana"/>
          <w:sz w:val="18"/>
          <w:szCs w:val="18"/>
        </w:rPr>
        <w:t xml:space="preserve"> </w:t>
      </w:r>
      <w:r w:rsidRPr="5981DEC0">
        <w:rPr>
          <w:rFonts w:ascii="Verdana" w:hAnsi="Verdana" w:eastAsia="Verdana" w:cs="Verdana"/>
          <w:i/>
          <w:iCs/>
          <w:sz w:val="18"/>
          <w:szCs w:val="18"/>
        </w:rPr>
        <w:t>Plan</w:t>
      </w:r>
      <w:r w:rsidRPr="7797FC40">
        <w:rPr>
          <w:rStyle w:val="Voetnootmarkering"/>
          <w:rFonts w:ascii="Verdana" w:hAnsi="Verdana" w:eastAsia="Verdana" w:cs="Verdana"/>
          <w:sz w:val="18"/>
          <w:szCs w:val="18"/>
        </w:rPr>
        <w:footnoteReference w:id="7"/>
      </w:r>
      <w:r w:rsidRPr="7797FC40">
        <w:rPr>
          <w:rFonts w:ascii="Verdana" w:hAnsi="Verdana" w:eastAsia="Verdana" w:cs="Verdana"/>
          <w:sz w:val="18"/>
          <w:szCs w:val="18"/>
        </w:rPr>
        <w:t>,</w:t>
      </w:r>
      <w:r w:rsidRPr="49FC535A">
        <w:rPr>
          <w:rFonts w:ascii="Verdana" w:hAnsi="Verdana" w:eastAsia="Verdana" w:cs="Verdana"/>
          <w:sz w:val="18"/>
          <w:szCs w:val="18"/>
        </w:rPr>
        <w:t xml:space="preserve"> gepland voor 2026, heeft als doel om deze te ondersteunen middels overzicht en aanbevelingen. </w:t>
      </w:r>
    </w:p>
    <w:p w:rsidR="00B20609" w:rsidP="00B20609" w:rsidRDefault="00B20609" w14:paraId="0F0A6522" w14:textId="77777777">
      <w:pPr>
        <w:rPr>
          <w:rFonts w:ascii="Verdana" w:hAnsi="Verdana"/>
          <w:sz w:val="18"/>
          <w:szCs w:val="18"/>
          <w:u w:val="single"/>
        </w:rPr>
      </w:pPr>
    </w:p>
    <w:p w:rsidRPr="00D75B1E" w:rsidR="00B20609" w:rsidP="00B20609" w:rsidRDefault="00B20609" w14:paraId="1CD67599" w14:textId="77777777">
      <w:pPr>
        <w:rPr>
          <w:rFonts w:ascii="Verdana" w:hAnsi="Verdana"/>
          <w:b/>
          <w:bCs/>
          <w:sz w:val="18"/>
          <w:szCs w:val="18"/>
        </w:rPr>
      </w:pPr>
      <w:r w:rsidRPr="5981DEC0">
        <w:rPr>
          <w:rFonts w:ascii="Verdana" w:hAnsi="Verdana"/>
          <w:b/>
          <w:bCs/>
          <w:sz w:val="18"/>
          <w:szCs w:val="18"/>
        </w:rPr>
        <w:t>Lentepakket Europees Semester 2025 –macroeconomische</w:t>
      </w:r>
      <w:r>
        <w:rPr>
          <w:rFonts w:ascii="Verdana" w:hAnsi="Verdana"/>
          <w:b/>
          <w:bCs/>
          <w:sz w:val="18"/>
          <w:szCs w:val="18"/>
        </w:rPr>
        <w:t xml:space="preserve"> </w:t>
      </w:r>
      <w:r w:rsidRPr="5981DEC0">
        <w:rPr>
          <w:rFonts w:ascii="Verdana" w:hAnsi="Verdana"/>
          <w:b/>
          <w:bCs/>
          <w:sz w:val="18"/>
          <w:szCs w:val="18"/>
        </w:rPr>
        <w:t xml:space="preserve">onevenwichtighedenprocedure </w:t>
      </w:r>
      <w:r>
        <w:rPr>
          <w:rFonts w:ascii="Verdana" w:hAnsi="Verdana"/>
          <w:b/>
          <w:bCs/>
          <w:sz w:val="18"/>
          <w:szCs w:val="18"/>
        </w:rPr>
        <w:br/>
      </w:r>
      <w:r w:rsidRPr="5981DEC0">
        <w:rPr>
          <w:rFonts w:ascii="Verdana" w:hAnsi="Verdana"/>
          <w:b/>
          <w:bCs/>
          <w:sz w:val="18"/>
          <w:szCs w:val="18"/>
        </w:rPr>
        <w:t>Document</w:t>
      </w:r>
      <w:r w:rsidRPr="5981DEC0">
        <w:rPr>
          <w:rFonts w:ascii="Verdana" w:hAnsi="Verdana"/>
          <w:sz w:val="18"/>
          <w:szCs w:val="18"/>
        </w:rPr>
        <w:t xml:space="preserve">: </w:t>
      </w:r>
      <w:r>
        <w:rPr>
          <w:rFonts w:ascii="Verdana" w:hAnsi="Verdana"/>
          <w:sz w:val="18"/>
          <w:szCs w:val="18"/>
        </w:rPr>
        <w:t xml:space="preserve">De diepteonderzoeken onder de macro-economische onevenwichtighedenprocedure (MEOP) zijn beschikbaar op: </w:t>
      </w:r>
      <w:hyperlink w:history="1" r:id="rId8">
        <w:r w:rsidRPr="00506D32">
          <w:rPr>
            <w:rStyle w:val="Hyperlink"/>
            <w:rFonts w:ascii="Verdana" w:hAnsi="Verdana"/>
            <w:sz w:val="18"/>
            <w:szCs w:val="18"/>
          </w:rPr>
          <w:t>https://economy-finance.ec.europa.eu/economic-and-fiscal-governance/macroeconomic-imbalance-procedure/depth-reviews_en</w:t>
        </w:r>
      </w:hyperlink>
      <w:r>
        <w:rPr>
          <w:rFonts w:ascii="Verdana" w:hAnsi="Verdana"/>
          <w:sz w:val="18"/>
          <w:szCs w:val="18"/>
        </w:rPr>
        <w:t xml:space="preserve"> </w:t>
      </w:r>
      <w:r>
        <w:rPr>
          <w:rFonts w:ascii="Verdana" w:hAnsi="Verdana"/>
          <w:b/>
          <w:bCs/>
          <w:sz w:val="18"/>
          <w:szCs w:val="18"/>
        </w:rPr>
        <w:br/>
      </w:r>
      <w:r w:rsidRPr="5981DEC0">
        <w:rPr>
          <w:rFonts w:ascii="Verdana" w:hAnsi="Verdana"/>
          <w:b/>
          <w:bCs/>
          <w:sz w:val="18"/>
          <w:szCs w:val="18"/>
        </w:rPr>
        <w:t>Aard bespreking</w:t>
      </w:r>
      <w:r w:rsidRPr="5981DEC0">
        <w:rPr>
          <w:rFonts w:ascii="Verdana" w:hAnsi="Verdana"/>
          <w:sz w:val="18"/>
          <w:szCs w:val="18"/>
        </w:rPr>
        <w:t xml:space="preserve">: </w:t>
      </w:r>
      <w:r>
        <w:rPr>
          <w:rFonts w:ascii="Verdana" w:hAnsi="Verdana"/>
          <w:sz w:val="18"/>
          <w:szCs w:val="18"/>
        </w:rPr>
        <w:t>presentatie en gedachtewisseling</w:t>
      </w:r>
      <w:r>
        <w:rPr>
          <w:rFonts w:ascii="Verdana" w:hAnsi="Verdana"/>
          <w:b/>
          <w:bCs/>
          <w:sz w:val="18"/>
          <w:szCs w:val="18"/>
        </w:rPr>
        <w:br/>
      </w:r>
      <w:r w:rsidRPr="5981DEC0">
        <w:rPr>
          <w:rFonts w:ascii="Verdana" w:hAnsi="Verdana"/>
          <w:b/>
          <w:bCs/>
          <w:sz w:val="18"/>
          <w:szCs w:val="18"/>
        </w:rPr>
        <w:t>Besluitvormingsprocedure</w:t>
      </w:r>
      <w:r w:rsidRPr="5981DEC0">
        <w:rPr>
          <w:rFonts w:ascii="Verdana" w:hAnsi="Verdana"/>
          <w:sz w:val="18"/>
          <w:szCs w:val="18"/>
        </w:rPr>
        <w:t xml:space="preserve">: </w:t>
      </w:r>
      <w:r>
        <w:rPr>
          <w:rFonts w:ascii="Verdana" w:hAnsi="Verdana"/>
          <w:sz w:val="18"/>
          <w:szCs w:val="18"/>
        </w:rPr>
        <w:t>n.v.t.</w:t>
      </w:r>
    </w:p>
    <w:p w:rsidRPr="001E47A6" w:rsidR="00B20609" w:rsidP="00B20609" w:rsidRDefault="00B20609" w14:paraId="6A6A3F2A" w14:textId="77777777">
      <w:pPr>
        <w:rPr>
          <w:rFonts w:ascii="Verdana" w:hAnsi="Verdana"/>
          <w:sz w:val="18"/>
          <w:szCs w:val="18"/>
        </w:rPr>
      </w:pPr>
      <w:r>
        <w:rPr>
          <w:rFonts w:ascii="Verdana" w:hAnsi="Verdana"/>
          <w:sz w:val="18"/>
          <w:szCs w:val="18"/>
        </w:rPr>
        <w:t xml:space="preserve">De Europese Commissie heeft op 13 mei voor Nederland, Griekenland, Slowakije, Hongarije, Zweden, Duitsland, Cyprus, Italië, Roemenië en Estland de diepteonderzoeken onder de macro-economische onevenwichtigheden procedure opgesteld. In het Alert Mechanism Report (AMR) 2025, gepubliceerd in december 2024, stelde de Commissie vast dat ze voor deze tien lidstaten diepteonderzoeken zou gaan uitvoeren naar mogelijke macro-economische onevenwichtigheden. </w:t>
      </w:r>
      <w:r w:rsidRPr="00540EB5">
        <w:rPr>
          <w:rFonts w:ascii="Verdana" w:hAnsi="Verdana"/>
          <w:sz w:val="18"/>
          <w:szCs w:val="18"/>
        </w:rPr>
        <w:t>Hierover is uw Kamer op 10 januari jl. geïnformeerd.</w:t>
      </w:r>
      <w:r w:rsidRPr="00540EB5">
        <w:rPr>
          <w:rFonts w:ascii="Verdana" w:hAnsi="Verdana"/>
          <w:sz w:val="18"/>
          <w:szCs w:val="18"/>
          <w:vertAlign w:val="superscript"/>
        </w:rPr>
        <w:footnoteReference w:id="8"/>
      </w:r>
    </w:p>
    <w:p w:rsidR="00B20609" w:rsidP="00B20609" w:rsidRDefault="00B20609" w14:paraId="090628E2" w14:textId="77777777">
      <w:pPr>
        <w:rPr>
          <w:rFonts w:ascii="Verdana" w:hAnsi="Verdana"/>
          <w:sz w:val="18"/>
          <w:szCs w:val="18"/>
        </w:rPr>
      </w:pPr>
      <w:r w:rsidRPr="00540EB5">
        <w:rPr>
          <w:rFonts w:ascii="Verdana" w:hAnsi="Verdana"/>
          <w:sz w:val="18"/>
          <w:szCs w:val="18"/>
        </w:rPr>
        <w:t>In het lentepakket heeft de Commissie, op basis van deze diepteonderzoeken, voor</w:t>
      </w:r>
      <w:r>
        <w:rPr>
          <w:rFonts w:ascii="Verdana" w:hAnsi="Verdana"/>
          <w:sz w:val="18"/>
          <w:szCs w:val="18"/>
        </w:rPr>
        <w:t xml:space="preserve"> zes lidstaten (Nederland, Italië, Griekenland, Slowakije, Hongarije en Zweden) macro-economische onevenwichtigheden vastgesteld. Roemenië ondervindt buitensporige macro-economische onevenwichtigheden, waar de Commissie vorig jaar nog een onevenwichtigheid had </w:t>
      </w:r>
      <w:proofErr w:type="gramStart"/>
      <w:r>
        <w:rPr>
          <w:rFonts w:ascii="Verdana" w:hAnsi="Verdana"/>
          <w:sz w:val="18"/>
          <w:szCs w:val="18"/>
        </w:rPr>
        <w:t>vastgesteld..</w:t>
      </w:r>
      <w:proofErr w:type="gramEnd"/>
      <w:r>
        <w:rPr>
          <w:rFonts w:ascii="Verdana" w:hAnsi="Verdana"/>
          <w:sz w:val="18"/>
          <w:szCs w:val="18"/>
        </w:rPr>
        <w:t xml:space="preserve"> Voor Duitsland, Cyprus en Estland zijn naar aanleiding van de diepteonderzoeken geen macro-economische onevenwichtigheden vastgesteld. </w:t>
      </w:r>
      <w:r w:rsidRPr="007B3D28">
        <w:rPr>
          <w:rFonts w:ascii="Verdana" w:hAnsi="Verdana"/>
          <w:sz w:val="18"/>
          <w:szCs w:val="18"/>
        </w:rPr>
        <w:t>Voor Nederland concludeert de Commissie op basis van het diepteonderzoek, net als in voorgaande jaren, dat er macro-economische onevenwichtigheden zijn die verband houden met de hoge private schulden en het overschot op de lopende rekening.</w:t>
      </w:r>
      <w:r>
        <w:rPr>
          <w:rFonts w:ascii="Verdana" w:hAnsi="Verdana"/>
          <w:sz w:val="18"/>
          <w:szCs w:val="18"/>
        </w:rPr>
        <w:t xml:space="preserve"> </w:t>
      </w:r>
    </w:p>
    <w:p w:rsidRPr="001E47A6" w:rsidR="00B20609" w:rsidP="00B20609" w:rsidRDefault="00B20609" w14:paraId="4C5B1036" w14:textId="77777777">
      <w:pPr>
        <w:rPr>
          <w:rFonts w:ascii="Verdana" w:hAnsi="Verdana"/>
          <w:sz w:val="18"/>
          <w:szCs w:val="18"/>
        </w:rPr>
      </w:pPr>
      <w:r>
        <w:rPr>
          <w:rFonts w:ascii="Verdana" w:hAnsi="Verdana"/>
          <w:sz w:val="18"/>
          <w:szCs w:val="18"/>
        </w:rPr>
        <w:t>Nederland kan de toelichting van de Europese Commissie aanhoren.</w:t>
      </w:r>
      <w:r w:rsidRPr="007B3D28">
        <w:rPr>
          <w:rFonts w:ascii="Verdana" w:hAnsi="Verdana"/>
          <w:sz w:val="18"/>
          <w:szCs w:val="18"/>
        </w:rPr>
        <w:t xml:space="preserve"> </w:t>
      </w:r>
      <w:r w:rsidRPr="001E47A6">
        <w:rPr>
          <w:rFonts w:ascii="Verdana" w:hAnsi="Verdana"/>
          <w:sz w:val="18"/>
          <w:szCs w:val="18"/>
        </w:rPr>
        <w:t xml:space="preserve">In </w:t>
      </w:r>
      <w:r>
        <w:rPr>
          <w:rFonts w:ascii="Verdana" w:hAnsi="Verdana"/>
          <w:sz w:val="18"/>
          <w:szCs w:val="18"/>
        </w:rPr>
        <w:t xml:space="preserve">de Ecofinraad van </w:t>
      </w:r>
      <w:r w:rsidRPr="001E47A6">
        <w:rPr>
          <w:rFonts w:ascii="Verdana" w:hAnsi="Verdana"/>
          <w:sz w:val="18"/>
          <w:szCs w:val="18"/>
        </w:rPr>
        <w:t xml:space="preserve">juli zullen </w:t>
      </w:r>
      <w:r>
        <w:rPr>
          <w:rFonts w:ascii="Verdana" w:hAnsi="Verdana"/>
          <w:sz w:val="18"/>
          <w:szCs w:val="18"/>
        </w:rPr>
        <w:t xml:space="preserve">zoals gebruikelijk </w:t>
      </w:r>
      <w:r w:rsidRPr="001E47A6">
        <w:rPr>
          <w:rFonts w:ascii="Verdana" w:hAnsi="Verdana"/>
          <w:sz w:val="18"/>
          <w:szCs w:val="18"/>
        </w:rPr>
        <w:t>Raadsconc</w:t>
      </w:r>
      <w:r>
        <w:rPr>
          <w:rFonts w:ascii="Verdana" w:hAnsi="Verdana"/>
          <w:sz w:val="18"/>
          <w:szCs w:val="18"/>
        </w:rPr>
        <w:t xml:space="preserve">lusies voorliggen over de resultaten van de diepteonderzoeken van de Commissie. </w:t>
      </w:r>
    </w:p>
    <w:p w:rsidR="00B20609" w:rsidP="00B20609" w:rsidRDefault="00B20609" w14:paraId="5C89C49A" w14:textId="77777777">
      <w:pPr>
        <w:rPr>
          <w:rFonts w:ascii="Verdana" w:hAnsi="Verdana"/>
          <w:sz w:val="18"/>
          <w:szCs w:val="18"/>
        </w:rPr>
      </w:pPr>
      <w:r>
        <w:rPr>
          <w:rFonts w:ascii="Verdana" w:hAnsi="Verdana"/>
          <w:sz w:val="18"/>
          <w:szCs w:val="18"/>
        </w:rPr>
        <w:t xml:space="preserve">Hieronder volgt een nadere toelichting gegeven op de voor Nederland onderzochte kwetsbaarheden. </w:t>
      </w:r>
    </w:p>
    <w:p w:rsidR="00B20609" w:rsidP="00B20609" w:rsidRDefault="00B20609" w14:paraId="2C4831BF" w14:textId="77777777">
      <w:pPr>
        <w:spacing w:after="0"/>
        <w:rPr>
          <w:rFonts w:ascii="Verdana" w:hAnsi="Verdana"/>
          <w:sz w:val="18"/>
          <w:szCs w:val="18"/>
        </w:rPr>
      </w:pPr>
      <w:r w:rsidRPr="002764C4">
        <w:rPr>
          <w:rFonts w:ascii="Verdana" w:hAnsi="Verdana"/>
          <w:i/>
          <w:iCs/>
          <w:sz w:val="18"/>
          <w:szCs w:val="18"/>
        </w:rPr>
        <w:t>Overschot op de lopende rekening</w:t>
      </w:r>
    </w:p>
    <w:p w:rsidRPr="00A526A4" w:rsidR="00B20609" w:rsidP="00B20609" w:rsidRDefault="00B20609" w14:paraId="68A93225" w14:textId="77777777">
      <w:pPr>
        <w:rPr>
          <w:rFonts w:ascii="Verdana" w:hAnsi="Verdana"/>
          <w:sz w:val="18"/>
          <w:szCs w:val="18"/>
        </w:rPr>
      </w:pPr>
      <w:r w:rsidRPr="00A526A4">
        <w:rPr>
          <w:rFonts w:ascii="Verdana" w:hAnsi="Verdana"/>
          <w:sz w:val="18"/>
          <w:szCs w:val="18"/>
        </w:rPr>
        <w:t xml:space="preserve">Het overschot op de lopende rekening was volgens Commissieberekeningen in 2024 9,2% van bbp (2023: 8,8%). Volgens de Commissieramingen stijgt het saldo in 2025-26 tot ongeveer 11% van het bbp. </w:t>
      </w:r>
      <w:r w:rsidRPr="00853A70">
        <w:rPr>
          <w:rFonts w:ascii="Verdana" w:hAnsi="Verdana"/>
          <w:sz w:val="18"/>
          <w:szCs w:val="18"/>
        </w:rPr>
        <w:t xml:space="preserve">Dit kan </w:t>
      </w:r>
      <w:r w:rsidRPr="00A526A4">
        <w:rPr>
          <w:rFonts w:ascii="Verdana" w:hAnsi="Verdana"/>
          <w:sz w:val="18"/>
          <w:szCs w:val="18"/>
        </w:rPr>
        <w:t xml:space="preserve">volgens de Commissie voor een substantieel deel worden verklaard door een handelsoverschot, onder meer door de </w:t>
      </w:r>
      <w:r>
        <w:rPr>
          <w:rFonts w:ascii="Verdana" w:hAnsi="Verdana"/>
          <w:sz w:val="18"/>
          <w:szCs w:val="18"/>
        </w:rPr>
        <w:t xml:space="preserve">Rotterdamse </w:t>
      </w:r>
      <w:r w:rsidRPr="00A526A4">
        <w:rPr>
          <w:rFonts w:ascii="Verdana" w:hAnsi="Verdana"/>
          <w:sz w:val="18"/>
          <w:szCs w:val="18"/>
        </w:rPr>
        <w:t xml:space="preserve">haven. Verder zorgen de aanwezigheid van relatief veel multinationals en het Nederlandse pensioensysteem (waarbij door pensioenfondsen met name in het buitenland wordt geïnvesteerd) voor </w:t>
      </w:r>
      <w:r>
        <w:rPr>
          <w:rFonts w:ascii="Verdana" w:hAnsi="Verdana"/>
          <w:sz w:val="18"/>
          <w:szCs w:val="18"/>
        </w:rPr>
        <w:t>een</w:t>
      </w:r>
      <w:r w:rsidRPr="00A526A4">
        <w:rPr>
          <w:rFonts w:ascii="Verdana" w:hAnsi="Verdana"/>
          <w:sz w:val="18"/>
          <w:szCs w:val="18"/>
        </w:rPr>
        <w:t xml:space="preserve"> spaaroverschot. Ook noemt de Commissie investeringsbelemmeringen, specifiek voor het mkb, als mogelijke oorzaak van het spaaroverschot. </w:t>
      </w:r>
    </w:p>
    <w:p w:rsidR="00B20609" w:rsidP="00B20609" w:rsidRDefault="00B20609" w14:paraId="3DF59367" w14:textId="77777777">
      <w:pPr>
        <w:spacing w:after="0"/>
        <w:rPr>
          <w:rFonts w:ascii="Verdana" w:hAnsi="Verdana"/>
          <w:sz w:val="18"/>
          <w:szCs w:val="18"/>
        </w:rPr>
      </w:pPr>
      <w:r w:rsidRPr="002764C4">
        <w:rPr>
          <w:rFonts w:ascii="Verdana" w:hAnsi="Verdana"/>
          <w:i/>
          <w:iCs/>
          <w:sz w:val="18"/>
          <w:szCs w:val="18"/>
        </w:rPr>
        <w:t>Hoge huishoudschulden in combinatie met de woningmarkt</w:t>
      </w:r>
    </w:p>
    <w:p w:rsidR="00B20609" w:rsidP="00B20609" w:rsidRDefault="00B20609" w14:paraId="1124A7B8" w14:textId="77777777">
      <w:pPr>
        <w:rPr>
          <w:rFonts w:ascii="Verdana" w:hAnsi="Verdana"/>
          <w:sz w:val="18"/>
          <w:szCs w:val="18"/>
        </w:rPr>
      </w:pPr>
      <w:r w:rsidRPr="001B1462">
        <w:rPr>
          <w:rFonts w:ascii="Verdana" w:hAnsi="Verdana"/>
          <w:sz w:val="18"/>
          <w:szCs w:val="18"/>
        </w:rPr>
        <w:t xml:space="preserve">De </w:t>
      </w:r>
      <w:r>
        <w:rPr>
          <w:rFonts w:ascii="Verdana" w:hAnsi="Verdana"/>
          <w:sz w:val="18"/>
          <w:szCs w:val="18"/>
        </w:rPr>
        <w:t xml:space="preserve">huishoudschulden </w:t>
      </w:r>
      <w:r w:rsidRPr="001B1462">
        <w:rPr>
          <w:rFonts w:ascii="Verdana" w:hAnsi="Verdana"/>
          <w:sz w:val="18"/>
          <w:szCs w:val="18"/>
        </w:rPr>
        <w:t>(waarvan 90% hypotheekschulden) daalde</w:t>
      </w:r>
      <w:r>
        <w:rPr>
          <w:rFonts w:ascii="Verdana" w:hAnsi="Verdana"/>
          <w:sz w:val="18"/>
          <w:szCs w:val="18"/>
        </w:rPr>
        <w:t>n</w:t>
      </w:r>
      <w:r w:rsidRPr="001B1462">
        <w:rPr>
          <w:rFonts w:ascii="Verdana" w:hAnsi="Verdana"/>
          <w:sz w:val="18"/>
          <w:szCs w:val="18"/>
        </w:rPr>
        <w:t xml:space="preserve"> tussen 202</w:t>
      </w:r>
      <w:r>
        <w:rPr>
          <w:rFonts w:ascii="Verdana" w:hAnsi="Verdana"/>
          <w:sz w:val="18"/>
          <w:szCs w:val="18"/>
        </w:rPr>
        <w:t>3</w:t>
      </w:r>
      <w:r w:rsidRPr="001B1462">
        <w:rPr>
          <w:rFonts w:ascii="Verdana" w:hAnsi="Verdana"/>
          <w:sz w:val="18"/>
          <w:szCs w:val="18"/>
        </w:rPr>
        <w:t xml:space="preserve"> en 202</w:t>
      </w:r>
      <w:r>
        <w:rPr>
          <w:rFonts w:ascii="Verdana" w:hAnsi="Verdana"/>
          <w:sz w:val="18"/>
          <w:szCs w:val="18"/>
        </w:rPr>
        <w:t>4</w:t>
      </w:r>
      <w:r w:rsidRPr="001B1462">
        <w:rPr>
          <w:rFonts w:ascii="Verdana" w:hAnsi="Verdana"/>
          <w:sz w:val="18"/>
          <w:szCs w:val="18"/>
        </w:rPr>
        <w:t xml:space="preserve"> van </w:t>
      </w:r>
      <w:r>
        <w:rPr>
          <w:rFonts w:ascii="Verdana" w:hAnsi="Verdana"/>
          <w:sz w:val="18"/>
          <w:szCs w:val="18"/>
        </w:rPr>
        <w:t>94,5</w:t>
      </w:r>
      <w:r w:rsidRPr="001B1462">
        <w:rPr>
          <w:rFonts w:ascii="Verdana" w:hAnsi="Verdana"/>
          <w:sz w:val="18"/>
          <w:szCs w:val="18"/>
        </w:rPr>
        <w:t xml:space="preserve">% bbp naar </w:t>
      </w:r>
      <w:r>
        <w:rPr>
          <w:rFonts w:ascii="Verdana" w:hAnsi="Verdana"/>
          <w:sz w:val="18"/>
          <w:szCs w:val="18"/>
        </w:rPr>
        <w:t>92,3</w:t>
      </w:r>
      <w:r w:rsidRPr="001B1462">
        <w:rPr>
          <w:rFonts w:ascii="Verdana" w:hAnsi="Verdana"/>
          <w:sz w:val="18"/>
          <w:szCs w:val="18"/>
        </w:rPr>
        <w:t>% bbp en zitten op een verder dalend pad</w:t>
      </w:r>
      <w:r>
        <w:rPr>
          <w:rFonts w:ascii="Verdana" w:hAnsi="Verdana"/>
          <w:sz w:val="18"/>
          <w:szCs w:val="18"/>
        </w:rPr>
        <w:t xml:space="preserve">. Tegelijkertijd is de verwachting dat deze op langere termijn </w:t>
      </w:r>
      <w:r w:rsidRPr="001B1462">
        <w:rPr>
          <w:rFonts w:ascii="Verdana" w:hAnsi="Verdana"/>
          <w:sz w:val="18"/>
          <w:szCs w:val="18"/>
        </w:rPr>
        <w:t xml:space="preserve">hoog </w:t>
      </w:r>
      <w:r>
        <w:rPr>
          <w:rFonts w:ascii="Verdana" w:hAnsi="Verdana"/>
          <w:sz w:val="18"/>
          <w:szCs w:val="18"/>
        </w:rPr>
        <w:t xml:space="preserve">blijven. De Commissie geeft aan dat ondanks beleidswijzigingen over de afgelopen jaren verstoringen op de woningmarkt blijven bestaan door </w:t>
      </w:r>
      <w:r w:rsidRPr="001B1462">
        <w:rPr>
          <w:rFonts w:ascii="Verdana" w:hAnsi="Verdana"/>
          <w:sz w:val="18"/>
          <w:szCs w:val="18"/>
        </w:rPr>
        <w:t xml:space="preserve">subsidies in het belastingsysteem voor </w:t>
      </w:r>
      <w:proofErr w:type="spellStart"/>
      <w:r w:rsidRPr="001B1462">
        <w:rPr>
          <w:rFonts w:ascii="Verdana" w:hAnsi="Verdana"/>
          <w:sz w:val="18"/>
          <w:szCs w:val="18"/>
        </w:rPr>
        <w:t>schuldgefinancierd</w:t>
      </w:r>
      <w:proofErr w:type="spellEnd"/>
      <w:r w:rsidRPr="001B1462">
        <w:rPr>
          <w:rFonts w:ascii="Verdana" w:hAnsi="Verdana"/>
          <w:sz w:val="18"/>
          <w:szCs w:val="18"/>
        </w:rPr>
        <w:t xml:space="preserve"> woningbezit. Een nog steeds genereuze </w:t>
      </w:r>
      <w:r w:rsidRPr="001B1462">
        <w:rPr>
          <w:rFonts w:ascii="Verdana" w:hAnsi="Verdana"/>
          <w:sz w:val="18"/>
          <w:szCs w:val="18"/>
        </w:rPr>
        <w:lastRenderedPageBreak/>
        <w:t xml:space="preserve">hypotheekrenteaftrek en hoge </w:t>
      </w:r>
      <w:proofErr w:type="spellStart"/>
      <w:r w:rsidRPr="001B1462">
        <w:rPr>
          <w:rFonts w:ascii="Verdana" w:hAnsi="Verdana"/>
          <w:sz w:val="18"/>
          <w:szCs w:val="18"/>
        </w:rPr>
        <w:t>loan-to-value</w:t>
      </w:r>
      <w:proofErr w:type="spellEnd"/>
      <w:r w:rsidRPr="001B1462">
        <w:rPr>
          <w:rFonts w:ascii="Verdana" w:hAnsi="Verdana"/>
          <w:sz w:val="18"/>
          <w:szCs w:val="18"/>
        </w:rPr>
        <w:t xml:space="preserve"> (LTV) ratio en relatief gunstige fiscale behandeling van de eigen woning in een context van aanbodtekorten zorgen voor een </w:t>
      </w:r>
      <w:r>
        <w:rPr>
          <w:rFonts w:ascii="Verdana" w:hAnsi="Verdana"/>
          <w:sz w:val="18"/>
          <w:szCs w:val="18"/>
        </w:rPr>
        <w:t xml:space="preserve">zogenaamde </w:t>
      </w:r>
      <w:r w:rsidRPr="001B1462">
        <w:rPr>
          <w:rFonts w:ascii="Verdana" w:hAnsi="Verdana"/>
          <w:sz w:val="18"/>
          <w:szCs w:val="18"/>
        </w:rPr>
        <w:t xml:space="preserve">schuldenbias op de huizenmarkt en hogere huizenprijzen. </w:t>
      </w:r>
      <w:r>
        <w:rPr>
          <w:rFonts w:ascii="Verdana" w:hAnsi="Verdana"/>
          <w:sz w:val="18"/>
          <w:szCs w:val="18"/>
        </w:rPr>
        <w:t>Volgens de Commissie is uitgebreide actie nodig om de uitdagingen op de woningmarkt aan te gaan. Ook wijst de Commissie op uitdagingen rondom vergunningen, arbeidsmarktkrapte en risico’s in de private huurmarkt.</w:t>
      </w:r>
    </w:p>
    <w:p w:rsidR="00B20609" w:rsidP="00B20609" w:rsidRDefault="00B20609" w14:paraId="4642F464" w14:textId="77777777">
      <w:pPr>
        <w:rPr>
          <w:rFonts w:ascii="Verdana" w:hAnsi="Verdana"/>
          <w:b/>
          <w:bCs/>
          <w:sz w:val="18"/>
          <w:szCs w:val="18"/>
        </w:rPr>
      </w:pPr>
    </w:p>
    <w:p w:rsidRPr="00914F3C" w:rsidR="00B20609" w:rsidP="00B20609" w:rsidRDefault="00B20609" w14:paraId="11A68329" w14:textId="7F22E9D9">
      <w:pPr>
        <w:rPr>
          <w:rFonts w:ascii="Verdana" w:hAnsi="Verdana"/>
          <w:b/>
          <w:bCs/>
          <w:sz w:val="18"/>
          <w:szCs w:val="18"/>
        </w:rPr>
      </w:pPr>
      <w:r w:rsidRPr="5981DEC0">
        <w:rPr>
          <w:rFonts w:ascii="Verdana" w:hAnsi="Verdana"/>
          <w:b/>
          <w:bCs/>
          <w:sz w:val="18"/>
          <w:szCs w:val="18"/>
        </w:rPr>
        <w:t>Lentepakket Europees Semester 2025 –</w:t>
      </w:r>
      <w:r>
        <w:rPr>
          <w:rFonts w:ascii="Verdana" w:hAnsi="Verdana"/>
          <w:b/>
          <w:bCs/>
          <w:sz w:val="18"/>
          <w:szCs w:val="18"/>
        </w:rPr>
        <w:t xml:space="preserve"> landspecifieke aanbevelingen</w:t>
      </w:r>
      <w:r>
        <w:rPr>
          <w:rFonts w:ascii="Verdana" w:hAnsi="Verdana"/>
          <w:b/>
          <w:bCs/>
          <w:sz w:val="18"/>
          <w:szCs w:val="18"/>
        </w:rPr>
        <w:br/>
      </w:r>
      <w:r w:rsidRPr="5981DEC0">
        <w:rPr>
          <w:rFonts w:ascii="Verdana" w:hAnsi="Verdana"/>
          <w:b/>
          <w:bCs/>
          <w:sz w:val="18"/>
          <w:szCs w:val="18"/>
        </w:rPr>
        <w:t>Document</w:t>
      </w:r>
      <w:r w:rsidRPr="5981DEC0">
        <w:rPr>
          <w:rFonts w:ascii="Verdana" w:hAnsi="Verdana"/>
          <w:sz w:val="18"/>
          <w:szCs w:val="18"/>
        </w:rPr>
        <w:t xml:space="preserve">: </w:t>
      </w:r>
      <w:r>
        <w:rPr>
          <w:rFonts w:ascii="Verdana" w:hAnsi="Verdana"/>
          <w:sz w:val="18"/>
          <w:szCs w:val="18"/>
        </w:rPr>
        <w:t xml:space="preserve">De voorstellen van de Europese Commissie voor de landspecifieke aanbevelingen van de Raad aan de lidstaten zijn publiek beschikbaar: </w:t>
      </w:r>
      <w:hyperlink w:history="1" r:id="rId9">
        <w:r w:rsidRPr="00531935">
          <w:rPr>
            <w:rStyle w:val="Hyperlink"/>
            <w:rFonts w:ascii="Verdana" w:hAnsi="Verdana"/>
            <w:sz w:val="18"/>
            <w:szCs w:val="18"/>
          </w:rPr>
          <w:t>https://commission.europa.eu/publications/2025-european-semester-country-specific-recommendations-commission-recommendations_en</w:t>
        </w:r>
      </w:hyperlink>
      <w:r>
        <w:rPr>
          <w:rFonts w:ascii="Verdana" w:hAnsi="Verdana"/>
          <w:sz w:val="18"/>
          <w:szCs w:val="18"/>
        </w:rPr>
        <w:t xml:space="preserve"> </w:t>
      </w:r>
      <w:r>
        <w:rPr>
          <w:rFonts w:ascii="Verdana" w:hAnsi="Verdana"/>
          <w:sz w:val="18"/>
          <w:szCs w:val="18"/>
        </w:rPr>
        <w:fldChar w:fldCharType="begin"/>
      </w:r>
      <w:r w:rsidRPr="00A92263">
        <w:rPr>
          <w:rFonts w:ascii="Verdana" w:hAnsi="Verdana"/>
          <w:sz w:val="18"/>
          <w:szCs w:val="18"/>
        </w:rPr>
        <w:instrText>https://commission.europa.eu/publications/2025-european-semester-country-specific-recommendations-commission-recommendations_en</w:instrText>
      </w:r>
      <w:r>
        <w:rPr>
          <w:rFonts w:ascii="Verdana" w:hAnsi="Verdana"/>
          <w:sz w:val="18"/>
          <w:szCs w:val="18"/>
        </w:rPr>
        <w:instrText>"</w:instrText>
      </w:r>
      <w:r>
        <w:rPr>
          <w:rFonts w:ascii="Verdana" w:hAnsi="Verdana"/>
          <w:sz w:val="18"/>
          <w:szCs w:val="18"/>
        </w:rPr>
        <w:fldChar w:fldCharType="separate"/>
      </w:r>
      <w:r w:rsidRPr="00531935">
        <w:rPr>
          <w:rStyle w:val="Hyperlink"/>
          <w:rFonts w:ascii="Verdana" w:hAnsi="Verdana"/>
          <w:sz w:val="18"/>
          <w:szCs w:val="18"/>
        </w:rPr>
        <w:t>https://commission.europa.eu/publications/2025-european-semester-country-specific-recommendations-commission-recommendations_en</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br/>
        <w:t xml:space="preserve">De horizontale notitie over de landspecifieke aanbevelingen zal voorafgaand aan de vergadering beschikbaar zijn op de </w:t>
      </w:r>
      <w:proofErr w:type="spellStart"/>
      <w:r w:rsidRPr="00914F3C">
        <w:rPr>
          <w:rFonts w:ascii="Verdana" w:hAnsi="Verdana"/>
          <w:i/>
          <w:iCs/>
          <w:sz w:val="18"/>
          <w:szCs w:val="18"/>
        </w:rPr>
        <w:t>delegates</w:t>
      </w:r>
      <w:proofErr w:type="spellEnd"/>
      <w:r w:rsidRPr="00914F3C">
        <w:rPr>
          <w:rFonts w:ascii="Verdana" w:hAnsi="Verdana"/>
          <w:i/>
          <w:iCs/>
          <w:sz w:val="18"/>
          <w:szCs w:val="18"/>
        </w:rPr>
        <w:t xml:space="preserve"> portal</w:t>
      </w:r>
      <w:r>
        <w:rPr>
          <w:rFonts w:ascii="Verdana" w:hAnsi="Verdana"/>
          <w:sz w:val="18"/>
          <w:szCs w:val="18"/>
        </w:rPr>
        <w:t xml:space="preserve">. </w:t>
      </w:r>
      <w:r>
        <w:rPr>
          <w:rFonts w:ascii="Verdana" w:hAnsi="Verdana"/>
          <w:b/>
          <w:bCs/>
          <w:sz w:val="18"/>
          <w:szCs w:val="18"/>
        </w:rPr>
        <w:br/>
      </w:r>
      <w:r w:rsidRPr="5981DEC0">
        <w:rPr>
          <w:rFonts w:ascii="Verdana" w:hAnsi="Verdana"/>
          <w:b/>
          <w:bCs/>
          <w:sz w:val="18"/>
          <w:szCs w:val="18"/>
        </w:rPr>
        <w:t>Aard bespreking</w:t>
      </w:r>
      <w:r w:rsidRPr="5981DEC0">
        <w:rPr>
          <w:rFonts w:ascii="Verdana" w:hAnsi="Verdana"/>
          <w:sz w:val="18"/>
          <w:szCs w:val="18"/>
        </w:rPr>
        <w:t>:</w:t>
      </w:r>
      <w:r>
        <w:rPr>
          <w:rFonts w:ascii="Verdana" w:hAnsi="Verdana"/>
          <w:sz w:val="18"/>
          <w:szCs w:val="18"/>
        </w:rPr>
        <w:t xml:space="preserve"> Goedkeuring horizontale notitie ten behoeve van bespreking in de Europese Raad</w:t>
      </w:r>
      <w:r>
        <w:rPr>
          <w:rFonts w:ascii="Verdana" w:hAnsi="Verdana"/>
          <w:b/>
          <w:bCs/>
          <w:sz w:val="18"/>
          <w:szCs w:val="18"/>
        </w:rPr>
        <w:br/>
      </w:r>
      <w:r w:rsidRPr="5981DEC0">
        <w:rPr>
          <w:rFonts w:ascii="Verdana" w:hAnsi="Verdana"/>
          <w:b/>
          <w:bCs/>
          <w:sz w:val="18"/>
          <w:szCs w:val="18"/>
        </w:rPr>
        <w:t>Besluitvormingsprocedure</w:t>
      </w:r>
      <w:r w:rsidRPr="5981DEC0">
        <w:rPr>
          <w:rFonts w:ascii="Verdana" w:hAnsi="Verdana"/>
          <w:sz w:val="18"/>
          <w:szCs w:val="18"/>
        </w:rPr>
        <w:t xml:space="preserve">: </w:t>
      </w:r>
      <w:r>
        <w:rPr>
          <w:rFonts w:ascii="Verdana" w:hAnsi="Verdana"/>
          <w:sz w:val="18"/>
          <w:szCs w:val="18"/>
        </w:rPr>
        <w:t>consensus</w:t>
      </w:r>
    </w:p>
    <w:p w:rsidR="00B20609" w:rsidP="00B20609" w:rsidRDefault="00B20609" w14:paraId="3C0285C6" w14:textId="77777777">
      <w:pPr>
        <w:rPr>
          <w:rFonts w:ascii="Verdana" w:hAnsi="Verdana"/>
          <w:sz w:val="18"/>
          <w:szCs w:val="18"/>
        </w:rPr>
      </w:pPr>
      <w:r>
        <w:rPr>
          <w:rFonts w:ascii="Verdana" w:hAnsi="Verdana"/>
          <w:sz w:val="18"/>
          <w:szCs w:val="18"/>
        </w:rPr>
        <w:t>I</w:t>
      </w:r>
      <w:r w:rsidRPr="406D06E1">
        <w:rPr>
          <w:rFonts w:ascii="Verdana" w:hAnsi="Verdana"/>
          <w:sz w:val="18"/>
          <w:szCs w:val="18"/>
        </w:rPr>
        <w:t xml:space="preserve">n de Ecofinraad </w:t>
      </w:r>
      <w:r>
        <w:rPr>
          <w:rFonts w:ascii="Verdana" w:hAnsi="Verdana"/>
          <w:sz w:val="18"/>
          <w:szCs w:val="18"/>
        </w:rPr>
        <w:t xml:space="preserve">ligt </w:t>
      </w:r>
      <w:r w:rsidRPr="406D06E1">
        <w:rPr>
          <w:rFonts w:ascii="Verdana" w:hAnsi="Verdana"/>
          <w:sz w:val="18"/>
          <w:szCs w:val="18"/>
        </w:rPr>
        <w:t>de goedkeuring van een horizontale not</w:t>
      </w:r>
      <w:r>
        <w:rPr>
          <w:rFonts w:ascii="Verdana" w:hAnsi="Verdana"/>
          <w:sz w:val="18"/>
          <w:szCs w:val="18"/>
        </w:rPr>
        <w:t>itie</w:t>
      </w:r>
      <w:r w:rsidRPr="406D06E1">
        <w:rPr>
          <w:rFonts w:ascii="Verdana" w:hAnsi="Verdana"/>
          <w:sz w:val="18"/>
          <w:szCs w:val="18"/>
        </w:rPr>
        <w:t xml:space="preserve"> </w:t>
      </w:r>
      <w:r>
        <w:rPr>
          <w:rFonts w:ascii="Verdana" w:hAnsi="Verdana"/>
          <w:sz w:val="18"/>
          <w:szCs w:val="18"/>
        </w:rPr>
        <w:t xml:space="preserve">voor over </w:t>
      </w:r>
      <w:r w:rsidRPr="406D06E1">
        <w:rPr>
          <w:rFonts w:ascii="Verdana" w:hAnsi="Verdana"/>
          <w:sz w:val="18"/>
          <w:szCs w:val="18"/>
        </w:rPr>
        <w:t xml:space="preserve">de </w:t>
      </w:r>
      <w:r>
        <w:rPr>
          <w:rFonts w:ascii="Verdana" w:hAnsi="Verdana"/>
          <w:sz w:val="18"/>
          <w:szCs w:val="18"/>
        </w:rPr>
        <w:t xml:space="preserve">voorstellen van de Europese Commissie voor </w:t>
      </w:r>
      <w:r w:rsidRPr="406D06E1">
        <w:rPr>
          <w:rFonts w:ascii="Verdana" w:hAnsi="Verdana"/>
          <w:sz w:val="18"/>
          <w:szCs w:val="18"/>
        </w:rPr>
        <w:t xml:space="preserve">landspecifieke aanbevelingen van de Raad aan de lidstaten. </w:t>
      </w:r>
      <w:r>
        <w:rPr>
          <w:rFonts w:ascii="Verdana" w:hAnsi="Verdana"/>
          <w:sz w:val="18"/>
          <w:szCs w:val="18"/>
        </w:rPr>
        <w:t xml:space="preserve">Deze notitie dient als input voor de gebruikelijke bespreking van de voorgestelde landspecifieke aanbevelingen in de Europese Raad, van 26 en 27 juni. </w:t>
      </w:r>
    </w:p>
    <w:p w:rsidRPr="00E807B9" w:rsidR="00B20609" w:rsidP="00B20609" w:rsidRDefault="00B20609" w14:paraId="47D2DA84" w14:textId="77777777">
      <w:pPr>
        <w:rPr>
          <w:rFonts w:ascii="Verdana" w:hAnsi="Verdana" w:eastAsia="Verdana" w:cs="Verdana"/>
          <w:sz w:val="18"/>
          <w:szCs w:val="18"/>
        </w:rPr>
      </w:pPr>
      <w:r w:rsidRPr="406D06E1">
        <w:rPr>
          <w:rFonts w:ascii="Verdana" w:hAnsi="Verdana" w:eastAsia="Verdana" w:cs="Verdana"/>
          <w:sz w:val="18"/>
          <w:szCs w:val="18"/>
        </w:rPr>
        <w:t>De Commissie doet haar voorstellen voor de landspecifieke aanbevelingen op basis van de aanbeveling van de Raad over het economische beleid van de eurozone</w:t>
      </w:r>
      <w:r w:rsidRPr="004CE3FE">
        <w:rPr>
          <w:rStyle w:val="Voetnootmarkering"/>
          <w:rFonts w:ascii="Verdana" w:hAnsi="Verdana" w:eastAsia="Verdana" w:cs="Verdana"/>
          <w:sz w:val="18"/>
          <w:szCs w:val="18"/>
        </w:rPr>
        <w:footnoteReference w:id="9"/>
      </w:r>
      <w:r w:rsidRPr="406D06E1">
        <w:rPr>
          <w:rFonts w:ascii="Verdana" w:hAnsi="Verdana" w:eastAsia="Verdana" w:cs="Verdana"/>
          <w:sz w:val="18"/>
          <w:szCs w:val="18"/>
        </w:rPr>
        <w:t xml:space="preserve">, de economische analyse in de landenrapporten voor de individuele lidstaten en de door lidstaten ingediende </w:t>
      </w:r>
      <w:r>
        <w:rPr>
          <w:rFonts w:ascii="Verdana" w:hAnsi="Verdana" w:eastAsia="Verdana" w:cs="Verdana"/>
          <w:sz w:val="18"/>
          <w:szCs w:val="18"/>
        </w:rPr>
        <w:t>v</w:t>
      </w:r>
      <w:r w:rsidRPr="406D06E1">
        <w:rPr>
          <w:rFonts w:ascii="Verdana" w:hAnsi="Verdana" w:eastAsia="Verdana" w:cs="Verdana"/>
          <w:sz w:val="18"/>
          <w:szCs w:val="18"/>
        </w:rPr>
        <w:t xml:space="preserve">oortgangsrapportages </w:t>
      </w:r>
      <w:r>
        <w:rPr>
          <w:rFonts w:ascii="Verdana" w:hAnsi="Verdana" w:eastAsia="Verdana" w:cs="Verdana"/>
          <w:sz w:val="18"/>
          <w:szCs w:val="18"/>
        </w:rPr>
        <w:t>in het kader van het Stabiliteits- en Groeipact</w:t>
      </w:r>
      <w:r w:rsidRPr="406D06E1">
        <w:rPr>
          <w:rFonts w:ascii="Verdana" w:hAnsi="Verdana" w:eastAsia="Verdana" w:cs="Verdana"/>
          <w:sz w:val="18"/>
          <w:szCs w:val="18"/>
        </w:rPr>
        <w:t>.</w:t>
      </w:r>
    </w:p>
    <w:p w:rsidRPr="00515873" w:rsidR="00515873" w:rsidP="00515873" w:rsidRDefault="00B20609" w14:paraId="0333328E" w14:textId="51319FB6">
      <w:pPr>
        <w:spacing w:after="0" w:line="264" w:lineRule="auto"/>
        <w:rPr>
          <w:rFonts w:ascii="Verdana" w:hAnsi="Verdana" w:eastAsia="Times New Roman" w:cs="Aptos"/>
          <w:sz w:val="18"/>
          <w:szCs w:val="18"/>
        </w:rPr>
      </w:pPr>
      <w:r w:rsidRPr="00515873">
        <w:rPr>
          <w:rFonts w:ascii="Verdana" w:hAnsi="Verdana" w:eastAsia="Verdana" w:cs="Verdana"/>
          <w:sz w:val="18"/>
          <w:szCs w:val="18"/>
        </w:rPr>
        <w:t>De Commissie heeft haar voorstellen voor de landspecifieke aanbevelingen van de Raad aan de lidstaten onderverdeeld in zes delen. Nederland heeft op vijf onderdelen aanbevelingen ontvangen</w:t>
      </w:r>
      <w:r w:rsidR="00515873">
        <w:rPr>
          <w:rFonts w:ascii="Verdana" w:hAnsi="Verdana" w:eastAsia="Verdana" w:cs="Verdana"/>
          <w:sz w:val="18"/>
          <w:szCs w:val="18"/>
        </w:rPr>
        <w:t>, deze worden hieronder omschreven.</w:t>
      </w:r>
      <w:r w:rsidRPr="00515873" w:rsidR="00515873">
        <w:rPr>
          <w:rFonts w:ascii="Verdana" w:hAnsi="Verdana" w:eastAsia="Verdana" w:cs="Verdana"/>
          <w:sz w:val="18"/>
          <w:szCs w:val="18"/>
        </w:rPr>
        <w:t xml:space="preserve"> </w:t>
      </w:r>
      <w:r w:rsidRPr="00515873" w:rsidR="00515873">
        <w:rPr>
          <w:rFonts w:ascii="Verdana" w:hAnsi="Verdana" w:eastAsia="Times New Roman" w:cs="Aptos"/>
          <w:sz w:val="18"/>
          <w:szCs w:val="18"/>
        </w:rPr>
        <w:t xml:space="preserve">Gezien de demissionaire status van het kabinet wordt niet inhoudelijk ingegaan op de beleidsvoornemens ten aanzien van de individuele landspecifieke aanbevelingen. </w:t>
      </w:r>
    </w:p>
    <w:p w:rsidRPr="00D701D7" w:rsidR="00B20609" w:rsidP="00B20609" w:rsidRDefault="00B20609" w14:paraId="7F15CEC5" w14:textId="14060492">
      <w:pPr>
        <w:rPr>
          <w:rFonts w:ascii="Verdana" w:hAnsi="Verdana" w:eastAsia="Verdana" w:cs="Verdana"/>
          <w:sz w:val="18"/>
          <w:szCs w:val="18"/>
        </w:rPr>
      </w:pPr>
    </w:p>
    <w:p w:rsidR="00B20609" w:rsidP="00B20609" w:rsidRDefault="00B20609" w14:paraId="02AA4D16" w14:textId="77777777">
      <w:pPr>
        <w:pStyle w:val="Lijstalinea"/>
        <w:numPr>
          <w:ilvl w:val="0"/>
          <w:numId w:val="1"/>
        </w:numPr>
        <w:spacing w:line="256" w:lineRule="auto"/>
        <w:rPr>
          <w:rFonts w:ascii="Verdana" w:hAnsi="Verdana" w:eastAsia="Verdana" w:cs="Verdana"/>
          <w:sz w:val="18"/>
          <w:szCs w:val="18"/>
          <w:u w:val="single"/>
        </w:rPr>
      </w:pPr>
      <w:r>
        <w:rPr>
          <w:rFonts w:ascii="Verdana" w:hAnsi="Verdana" w:eastAsia="Verdana" w:cs="Verdana"/>
          <w:sz w:val="18"/>
          <w:szCs w:val="18"/>
          <w:u w:val="single"/>
        </w:rPr>
        <w:t>Begrotingsbeleid, inclusief fiscale en waar relevant structurele hervormingen</w:t>
      </w:r>
    </w:p>
    <w:p w:rsidR="00B20609" w:rsidP="00B20609" w:rsidRDefault="00B20609" w14:paraId="5A5BFFA9" w14:textId="77777777">
      <w:pPr>
        <w:ind w:left="360"/>
        <w:rPr>
          <w:rFonts w:ascii="Verdana" w:hAnsi="Verdana" w:eastAsia="Verdana" w:cs="Verdana"/>
          <w:i/>
          <w:iCs/>
          <w:sz w:val="18"/>
          <w:szCs w:val="18"/>
        </w:rPr>
      </w:pPr>
      <w:r>
        <w:rPr>
          <w:rFonts w:ascii="Verdana" w:hAnsi="Verdana" w:eastAsia="Verdana" w:cs="Verdana"/>
          <w:sz w:val="18"/>
          <w:szCs w:val="18"/>
        </w:rPr>
        <w:t xml:space="preserve">Voor Nederland behelst deze voorgestelde aanbeveling: </w:t>
      </w:r>
      <w:r>
        <w:rPr>
          <w:rFonts w:ascii="Verdana" w:hAnsi="Verdana" w:eastAsia="Verdana" w:cs="Verdana"/>
          <w:sz w:val="18"/>
          <w:szCs w:val="18"/>
        </w:rPr>
        <w:br/>
        <w:t>“</w:t>
      </w:r>
      <w:r w:rsidRPr="003000EE">
        <w:rPr>
          <w:rFonts w:ascii="Verdana" w:hAnsi="Verdana" w:eastAsia="Verdana" w:cs="Verdana"/>
          <w:i/>
          <w:iCs/>
          <w:sz w:val="18"/>
          <w:szCs w:val="18"/>
        </w:rPr>
        <w:t>Verhoog defensie uitgaven en gereedheid in lijn met de conclusies van de Europese Raad van 6 maart 2025. Zorg ervoor dat netto uitgaven in lijn zijn met het uitgavenpad dat is aangenomen in de Raadsaanbeveling op 21 januari 2025.</w:t>
      </w:r>
      <w:r>
        <w:rPr>
          <w:rFonts w:ascii="Verdana" w:hAnsi="Verdana" w:eastAsia="Verdana" w:cs="Verdana"/>
          <w:i/>
          <w:iCs/>
          <w:sz w:val="18"/>
          <w:szCs w:val="18"/>
        </w:rPr>
        <w:t xml:space="preserve"> </w:t>
      </w:r>
      <w:r w:rsidRPr="003000EE">
        <w:rPr>
          <w:rFonts w:ascii="Verdana" w:hAnsi="Verdana" w:eastAsia="Verdana" w:cs="Verdana"/>
          <w:i/>
          <w:iCs/>
          <w:sz w:val="18"/>
          <w:szCs w:val="18"/>
        </w:rPr>
        <w:t xml:space="preserve">Breng de belastingheffing op de verschillende soorten inkomsten uit vermogen op één lijn, onder meer om de bevoordeling van </w:t>
      </w:r>
      <w:r w:rsidRPr="00D701D7">
        <w:rPr>
          <w:rFonts w:ascii="Verdana" w:hAnsi="Verdana" w:eastAsia="Verdana" w:cs="Verdana"/>
          <w:i/>
          <w:iCs/>
          <w:sz w:val="18"/>
          <w:szCs w:val="18"/>
        </w:rPr>
        <w:t xml:space="preserve">schuld gefinancierd </w:t>
      </w:r>
      <w:proofErr w:type="gramStart"/>
      <w:r w:rsidRPr="00D701D7">
        <w:rPr>
          <w:rFonts w:ascii="Verdana" w:hAnsi="Verdana" w:eastAsia="Verdana" w:cs="Verdana"/>
          <w:i/>
          <w:iCs/>
          <w:sz w:val="18"/>
          <w:szCs w:val="18"/>
        </w:rPr>
        <w:t xml:space="preserve">huizenbezit </w:t>
      </w:r>
      <w:r w:rsidRPr="003000EE">
        <w:rPr>
          <w:rFonts w:ascii="Verdana" w:hAnsi="Verdana" w:eastAsia="Verdana" w:cs="Verdana"/>
          <w:i/>
          <w:iCs/>
          <w:sz w:val="18"/>
          <w:szCs w:val="18"/>
        </w:rPr>
        <w:t xml:space="preserve"> te</w:t>
      </w:r>
      <w:proofErr w:type="gramEnd"/>
      <w:r w:rsidRPr="003000EE">
        <w:rPr>
          <w:rFonts w:ascii="Verdana" w:hAnsi="Verdana" w:eastAsia="Verdana" w:cs="Verdana"/>
          <w:i/>
          <w:iCs/>
          <w:sz w:val="18"/>
          <w:szCs w:val="18"/>
        </w:rPr>
        <w:t xml:space="preserve"> beperken.</w:t>
      </w:r>
      <w:r>
        <w:rPr>
          <w:rFonts w:ascii="Verdana" w:hAnsi="Verdana" w:eastAsia="Verdana" w:cs="Verdana"/>
          <w:i/>
          <w:iCs/>
          <w:sz w:val="18"/>
          <w:szCs w:val="18"/>
        </w:rPr>
        <w:t xml:space="preserve"> </w:t>
      </w:r>
      <w:r w:rsidRPr="5981DEC0">
        <w:rPr>
          <w:rFonts w:ascii="Verdana" w:hAnsi="Verdana"/>
          <w:i/>
          <w:iCs/>
          <w:sz w:val="18"/>
          <w:szCs w:val="18"/>
        </w:rPr>
        <w:t>Neem barrières voor nieuwbouw weg door het versimpelen van planning- en vergunningenprocedures. Ondersteun de ontwikkeling van een betaalbare private huurmarkt, onder meer door investeringen in de sector aantrekkelijker te maken</w:t>
      </w:r>
      <w:r>
        <w:rPr>
          <w:rFonts w:ascii="Verdana" w:hAnsi="Verdana"/>
          <w:i/>
          <w:iCs/>
          <w:sz w:val="18"/>
          <w:szCs w:val="18"/>
        </w:rPr>
        <w:t xml:space="preserve">. </w:t>
      </w:r>
      <w:r>
        <w:rPr>
          <w:rFonts w:ascii="Verdana" w:hAnsi="Verdana" w:eastAsia="Verdana" w:cs="Verdana"/>
          <w:i/>
          <w:iCs/>
          <w:sz w:val="18"/>
          <w:szCs w:val="18"/>
        </w:rPr>
        <w:t>Pak de</w:t>
      </w:r>
      <w:r w:rsidRPr="5981DEC0">
        <w:rPr>
          <w:rFonts w:ascii="Verdana" w:hAnsi="Verdana" w:eastAsia="Verdana" w:cs="Verdana"/>
          <w:i/>
          <w:iCs/>
          <w:sz w:val="18"/>
          <w:szCs w:val="18"/>
        </w:rPr>
        <w:t xml:space="preserve"> verwachte toename van leeftijdsgerelateerde uitgaven </w:t>
      </w:r>
      <w:r>
        <w:rPr>
          <w:rFonts w:ascii="Verdana" w:hAnsi="Verdana" w:eastAsia="Verdana" w:cs="Verdana"/>
          <w:i/>
          <w:iCs/>
          <w:sz w:val="18"/>
          <w:szCs w:val="18"/>
        </w:rPr>
        <w:t>in de langdurige zorg aan</w:t>
      </w:r>
      <w:r w:rsidRPr="5981DEC0">
        <w:rPr>
          <w:rFonts w:ascii="Verdana" w:hAnsi="Verdana" w:eastAsia="Verdana" w:cs="Verdana"/>
          <w:i/>
          <w:iCs/>
          <w:sz w:val="18"/>
          <w:szCs w:val="18"/>
        </w:rPr>
        <w:t xml:space="preserve"> door de geleverde diensten in het stelsel beter in te richten</w:t>
      </w:r>
      <w:r>
        <w:rPr>
          <w:rFonts w:ascii="Verdana" w:hAnsi="Verdana" w:eastAsia="Verdana" w:cs="Verdana"/>
          <w:i/>
          <w:iCs/>
          <w:sz w:val="18"/>
          <w:szCs w:val="18"/>
        </w:rPr>
        <w:t>, onder andere door toelagen efficiënter toe te wijzen.”</w:t>
      </w:r>
    </w:p>
    <w:p w:rsidR="00B20609" w:rsidP="00B20609" w:rsidRDefault="00B20609" w14:paraId="166BD8DB" w14:textId="59961496">
      <w:pPr>
        <w:ind w:left="360"/>
        <w:rPr>
          <w:rFonts w:ascii="Verdana" w:hAnsi="Verdana" w:eastAsia="Verdana" w:cs="Verdana"/>
          <w:sz w:val="18"/>
          <w:szCs w:val="18"/>
        </w:rPr>
      </w:pPr>
      <w:r w:rsidRPr="00D701D7">
        <w:rPr>
          <w:rFonts w:ascii="Verdana" w:hAnsi="Verdana" w:eastAsia="Verdana" w:cs="Verdana"/>
          <w:sz w:val="18"/>
          <w:szCs w:val="18"/>
        </w:rPr>
        <w:t xml:space="preserve">De </w:t>
      </w:r>
      <w:r w:rsidR="00D51873">
        <w:rPr>
          <w:rFonts w:ascii="Verdana" w:hAnsi="Verdana" w:eastAsia="Verdana" w:cs="Verdana"/>
          <w:sz w:val="18"/>
          <w:szCs w:val="18"/>
        </w:rPr>
        <w:t xml:space="preserve">voorgestelde </w:t>
      </w:r>
      <w:r w:rsidRPr="00D701D7">
        <w:rPr>
          <w:rFonts w:ascii="Verdana" w:hAnsi="Verdana" w:eastAsia="Verdana" w:cs="Verdana"/>
          <w:sz w:val="18"/>
          <w:szCs w:val="18"/>
        </w:rPr>
        <w:t xml:space="preserve">aanbevelingen over defensie uitgaven </w:t>
      </w:r>
      <w:r w:rsidR="00D51873">
        <w:rPr>
          <w:rFonts w:ascii="Verdana" w:hAnsi="Verdana" w:eastAsia="Verdana" w:cs="Verdana"/>
          <w:sz w:val="18"/>
          <w:szCs w:val="18"/>
        </w:rPr>
        <w:t xml:space="preserve">zijn voorgesteld voor </w:t>
      </w:r>
      <w:r w:rsidRPr="00D701D7">
        <w:rPr>
          <w:rFonts w:ascii="Verdana" w:hAnsi="Verdana" w:eastAsia="Verdana" w:cs="Verdana"/>
          <w:sz w:val="18"/>
          <w:szCs w:val="18"/>
        </w:rPr>
        <w:t xml:space="preserve">alle lidstaten. Verder </w:t>
      </w:r>
      <w:r w:rsidR="00D51873">
        <w:rPr>
          <w:rFonts w:ascii="Verdana" w:hAnsi="Verdana" w:eastAsia="Verdana" w:cs="Verdana"/>
          <w:sz w:val="18"/>
          <w:szCs w:val="18"/>
        </w:rPr>
        <w:t xml:space="preserve">stelt de Commissie voor </w:t>
      </w:r>
      <w:r w:rsidRPr="00D701D7">
        <w:rPr>
          <w:rFonts w:ascii="Verdana" w:hAnsi="Verdana" w:eastAsia="Verdana" w:cs="Verdana"/>
          <w:sz w:val="18"/>
          <w:szCs w:val="18"/>
        </w:rPr>
        <w:t xml:space="preserve">andere lidstaten in deze categorie </w:t>
      </w:r>
      <w:r w:rsidR="00D51873">
        <w:rPr>
          <w:rFonts w:ascii="Verdana" w:hAnsi="Verdana" w:eastAsia="Verdana" w:cs="Verdana"/>
          <w:sz w:val="18"/>
          <w:szCs w:val="18"/>
        </w:rPr>
        <w:t xml:space="preserve">bijvoorbeeld aanbevelingen voor </w:t>
      </w:r>
      <w:r w:rsidRPr="00D701D7">
        <w:rPr>
          <w:rFonts w:ascii="Verdana" w:hAnsi="Verdana" w:eastAsia="Verdana" w:cs="Verdana"/>
          <w:sz w:val="18"/>
          <w:szCs w:val="18"/>
        </w:rPr>
        <w:t>om publieke investeringen te verhogen (Duitsland), het belastingstelsel te herzien en te simplificeren (Spanje) en de efficiëntie en effectiviteit van publieke investeringen te verhogen (Italië).</w:t>
      </w:r>
    </w:p>
    <w:p w:rsidRPr="003000EE" w:rsidR="00B20609" w:rsidP="00B20609" w:rsidRDefault="00B20609" w14:paraId="426B0799" w14:textId="68E7BE78">
      <w:pPr>
        <w:pStyle w:val="Lijstalinea"/>
        <w:numPr>
          <w:ilvl w:val="0"/>
          <w:numId w:val="1"/>
        </w:numPr>
        <w:rPr>
          <w:rFonts w:ascii="Verdana" w:hAnsi="Verdana" w:eastAsia="Verdana" w:cs="Verdana"/>
          <w:sz w:val="18"/>
          <w:szCs w:val="18"/>
          <w:u w:val="single"/>
        </w:rPr>
      </w:pPr>
      <w:r>
        <w:rPr>
          <w:rFonts w:ascii="Verdana" w:hAnsi="Verdana" w:eastAsia="Verdana" w:cs="Verdana"/>
          <w:sz w:val="18"/>
          <w:szCs w:val="18"/>
          <w:u w:val="single"/>
        </w:rPr>
        <w:t>Het gebruik van</w:t>
      </w:r>
      <w:r w:rsidRPr="003000EE">
        <w:rPr>
          <w:rFonts w:ascii="Verdana" w:hAnsi="Verdana" w:eastAsia="Verdana" w:cs="Verdana"/>
          <w:sz w:val="18"/>
          <w:szCs w:val="18"/>
          <w:u w:val="single"/>
        </w:rPr>
        <w:t xml:space="preserve"> EU-instrumenten</w:t>
      </w:r>
    </w:p>
    <w:p w:rsidR="00B20609" w:rsidP="00B20609" w:rsidRDefault="00B20609" w14:paraId="1F0F61B5" w14:textId="77777777">
      <w:pPr>
        <w:ind w:firstLine="360"/>
        <w:rPr>
          <w:rFonts w:ascii="Verdana" w:hAnsi="Verdana" w:eastAsia="Verdana" w:cs="Verdana"/>
          <w:sz w:val="18"/>
          <w:szCs w:val="18"/>
        </w:rPr>
      </w:pPr>
      <w:r>
        <w:rPr>
          <w:rFonts w:ascii="Verdana" w:hAnsi="Verdana" w:eastAsia="Verdana" w:cs="Verdana"/>
          <w:sz w:val="18"/>
          <w:szCs w:val="18"/>
        </w:rPr>
        <w:lastRenderedPageBreak/>
        <w:t>Voor Nederland behelst deze voorgestelde aanbeveling:</w:t>
      </w:r>
    </w:p>
    <w:p w:rsidRPr="003000EE" w:rsidR="00B20609" w:rsidP="00B20609" w:rsidRDefault="00B20609" w14:paraId="2C243086" w14:textId="3E45EAD0">
      <w:pPr>
        <w:ind w:left="360"/>
        <w:rPr>
          <w:rFonts w:ascii="Verdana" w:hAnsi="Verdana" w:eastAsia="Verdana" w:cs="Verdana"/>
          <w:sz w:val="18"/>
          <w:szCs w:val="18"/>
        </w:rPr>
      </w:pPr>
      <w:r>
        <w:rPr>
          <w:rFonts w:ascii="Verdana" w:hAnsi="Verdana" w:eastAsia="Verdana" w:cs="Verdana"/>
          <w:sz w:val="18"/>
          <w:szCs w:val="18"/>
        </w:rPr>
        <w:t>“</w:t>
      </w:r>
      <w:r>
        <w:rPr>
          <w:rFonts w:ascii="Verdana" w:hAnsi="Verdana" w:eastAsia="Verdana" w:cs="Verdana"/>
          <w:i/>
          <w:iCs/>
          <w:sz w:val="18"/>
          <w:szCs w:val="18"/>
        </w:rPr>
        <w:t xml:space="preserve">In het licht van de naderende deadline voor de implementatie van hervormingen en investeringen in het kader van verordening (EU) 2021/241, zorg voor een </w:t>
      </w:r>
      <w:r w:rsidR="00244D19">
        <w:rPr>
          <w:rFonts w:ascii="Verdana" w:hAnsi="Verdana" w:eastAsia="Verdana" w:cs="Verdana"/>
          <w:i/>
          <w:iCs/>
          <w:sz w:val="18"/>
          <w:szCs w:val="18"/>
        </w:rPr>
        <w:t>effectieve</w:t>
      </w:r>
      <w:r>
        <w:rPr>
          <w:rFonts w:ascii="Verdana" w:hAnsi="Verdana" w:eastAsia="Verdana" w:cs="Verdana"/>
          <w:i/>
          <w:iCs/>
          <w:sz w:val="18"/>
          <w:szCs w:val="18"/>
        </w:rPr>
        <w:t xml:space="preserve"> implementatie van het herstel- en veerkrachtplan, met inbegrip van het REPowerEU hoofdstuk. </w:t>
      </w:r>
      <w:r w:rsidRPr="5981DEC0">
        <w:rPr>
          <w:rFonts w:ascii="Verdana" w:hAnsi="Verdana" w:eastAsia="Verdana" w:cs="Verdana"/>
          <w:i/>
          <w:iCs/>
          <w:sz w:val="18"/>
          <w:szCs w:val="18"/>
        </w:rPr>
        <w:t>Versnel de implementatie van programma’s onder cohesiebeleid</w:t>
      </w:r>
      <w:r>
        <w:rPr>
          <w:rFonts w:ascii="Verdana" w:hAnsi="Verdana" w:eastAsia="Verdana" w:cs="Verdana"/>
          <w:i/>
          <w:iCs/>
          <w:sz w:val="18"/>
          <w:szCs w:val="18"/>
        </w:rPr>
        <w:t xml:space="preserve"> (</w:t>
      </w:r>
      <w:r w:rsidRPr="00D701D7">
        <w:rPr>
          <w:rFonts w:ascii="Verdana" w:hAnsi="Verdana" w:eastAsia="Verdana" w:cs="Verdana"/>
          <w:i/>
          <w:iCs/>
          <w:sz w:val="18"/>
          <w:szCs w:val="18"/>
        </w:rPr>
        <w:t>ERDF, JTF, ESF+)</w:t>
      </w:r>
      <w:r w:rsidRPr="5981DEC0">
        <w:rPr>
          <w:rFonts w:ascii="Verdana" w:hAnsi="Verdana" w:eastAsia="Verdana" w:cs="Verdana"/>
          <w:i/>
          <w:iCs/>
          <w:sz w:val="18"/>
          <w:szCs w:val="18"/>
        </w:rPr>
        <w:t>, waar mogelijk voortbouwend op de kansen geboden door de tussentijdse herziening.</w:t>
      </w:r>
      <w:r>
        <w:rPr>
          <w:rFonts w:ascii="Verdana" w:hAnsi="Verdana" w:eastAsia="Verdana" w:cs="Verdana"/>
          <w:i/>
          <w:iCs/>
          <w:sz w:val="18"/>
          <w:szCs w:val="18"/>
        </w:rPr>
        <w:t xml:space="preserve"> </w:t>
      </w:r>
      <w:r w:rsidRPr="5981DEC0">
        <w:rPr>
          <w:rFonts w:ascii="Verdana" w:hAnsi="Verdana" w:eastAsia="Verdana" w:cs="Verdana"/>
          <w:i/>
          <w:iCs/>
          <w:sz w:val="18"/>
          <w:szCs w:val="18"/>
        </w:rPr>
        <w:t>Maak optimaal gebruik van EU-instrumenten om het concurrentievermogen te verbeteren, waaronder de mogelijkheden die</w:t>
      </w:r>
      <w:r>
        <w:rPr>
          <w:rFonts w:ascii="Verdana" w:hAnsi="Verdana" w:eastAsia="Verdana" w:cs="Verdana"/>
          <w:i/>
          <w:iCs/>
          <w:sz w:val="18"/>
          <w:szCs w:val="18"/>
        </w:rPr>
        <w:t xml:space="preserve"> </w:t>
      </w:r>
      <w:proofErr w:type="spellStart"/>
      <w:r>
        <w:rPr>
          <w:rFonts w:ascii="Verdana" w:hAnsi="Verdana" w:eastAsia="Verdana" w:cs="Verdana"/>
          <w:i/>
          <w:iCs/>
          <w:sz w:val="18"/>
          <w:szCs w:val="18"/>
        </w:rPr>
        <w:t>InvestEU</w:t>
      </w:r>
      <w:proofErr w:type="spellEnd"/>
      <w:r>
        <w:rPr>
          <w:rFonts w:ascii="Verdana" w:hAnsi="Verdana" w:eastAsia="Verdana" w:cs="Verdana"/>
          <w:i/>
          <w:iCs/>
          <w:sz w:val="18"/>
          <w:szCs w:val="18"/>
        </w:rPr>
        <w:t xml:space="preserve"> en</w:t>
      </w:r>
      <w:r w:rsidRPr="5981DEC0">
        <w:rPr>
          <w:rFonts w:ascii="Verdana" w:hAnsi="Verdana" w:eastAsia="Verdana" w:cs="Verdana"/>
          <w:i/>
          <w:iCs/>
          <w:sz w:val="18"/>
          <w:szCs w:val="18"/>
        </w:rPr>
        <w:t xml:space="preserve"> het platform voor strategische technologieën voor Europa (STEP) bied</w:t>
      </w:r>
      <w:r>
        <w:rPr>
          <w:rFonts w:ascii="Verdana" w:hAnsi="Verdana" w:eastAsia="Verdana" w:cs="Verdana"/>
          <w:i/>
          <w:iCs/>
          <w:sz w:val="18"/>
          <w:szCs w:val="18"/>
        </w:rPr>
        <w:t>en.”</w:t>
      </w:r>
    </w:p>
    <w:p w:rsidR="00B20609" w:rsidP="00B20609" w:rsidRDefault="00D51873" w14:paraId="0366615F" w14:textId="7917D1FE">
      <w:pPr>
        <w:ind w:firstLine="360"/>
        <w:rPr>
          <w:rFonts w:ascii="Verdana" w:hAnsi="Verdana" w:eastAsia="Verdana" w:cs="Verdana"/>
          <w:sz w:val="18"/>
          <w:szCs w:val="18"/>
        </w:rPr>
      </w:pPr>
      <w:r>
        <w:rPr>
          <w:rFonts w:ascii="Verdana" w:hAnsi="Verdana" w:eastAsia="Verdana" w:cs="Verdana"/>
          <w:sz w:val="18"/>
          <w:szCs w:val="18"/>
        </w:rPr>
        <w:t>De Commissie stelt voor a</w:t>
      </w:r>
      <w:r w:rsidRPr="00D701D7" w:rsidR="00B20609">
        <w:rPr>
          <w:rFonts w:ascii="Verdana" w:hAnsi="Verdana" w:eastAsia="Verdana" w:cs="Verdana"/>
          <w:sz w:val="18"/>
          <w:szCs w:val="18"/>
        </w:rPr>
        <w:t xml:space="preserve">lle lidstaten een aanbeveling met deze strekking </w:t>
      </w:r>
      <w:r>
        <w:rPr>
          <w:rFonts w:ascii="Verdana" w:hAnsi="Verdana" w:eastAsia="Verdana" w:cs="Verdana"/>
          <w:sz w:val="18"/>
          <w:szCs w:val="18"/>
        </w:rPr>
        <w:t>voor</w:t>
      </w:r>
      <w:r w:rsidRPr="00D701D7" w:rsidR="00B20609">
        <w:rPr>
          <w:rFonts w:ascii="Verdana" w:hAnsi="Verdana" w:eastAsia="Verdana" w:cs="Verdana"/>
          <w:sz w:val="18"/>
          <w:szCs w:val="18"/>
        </w:rPr>
        <w:t xml:space="preserve">. </w:t>
      </w:r>
    </w:p>
    <w:p w:rsidRPr="003000EE" w:rsidR="00B20609" w:rsidP="00B20609" w:rsidRDefault="00B20609" w14:paraId="09B22114" w14:textId="77777777">
      <w:pPr>
        <w:pStyle w:val="Lijstalinea"/>
        <w:numPr>
          <w:ilvl w:val="0"/>
          <w:numId w:val="1"/>
        </w:numPr>
        <w:rPr>
          <w:rFonts w:ascii="Verdana" w:hAnsi="Verdana" w:eastAsia="Verdana" w:cs="Verdana"/>
          <w:sz w:val="18"/>
          <w:szCs w:val="18"/>
          <w:u w:val="single"/>
        </w:rPr>
      </w:pPr>
      <w:r>
        <w:rPr>
          <w:rFonts w:ascii="Verdana" w:hAnsi="Verdana" w:eastAsia="Verdana" w:cs="Verdana"/>
          <w:sz w:val="18"/>
          <w:szCs w:val="18"/>
          <w:u w:val="single"/>
        </w:rPr>
        <w:t>Innovatie</w:t>
      </w:r>
      <w:r w:rsidRPr="003000EE">
        <w:rPr>
          <w:rFonts w:ascii="Verdana" w:hAnsi="Verdana" w:eastAsia="Verdana" w:cs="Verdana"/>
          <w:sz w:val="18"/>
          <w:szCs w:val="18"/>
          <w:u w:val="single"/>
        </w:rPr>
        <w:t xml:space="preserve"> en obstakels voor investeringen</w:t>
      </w:r>
    </w:p>
    <w:p w:rsidR="00B20609" w:rsidP="00B20609" w:rsidRDefault="00B20609" w14:paraId="11ABAC26" w14:textId="77777777">
      <w:pPr>
        <w:ind w:firstLine="360"/>
        <w:rPr>
          <w:rFonts w:ascii="Verdana" w:hAnsi="Verdana" w:eastAsia="Verdana" w:cs="Verdana"/>
          <w:sz w:val="18"/>
          <w:szCs w:val="18"/>
        </w:rPr>
      </w:pPr>
      <w:r>
        <w:rPr>
          <w:rFonts w:ascii="Verdana" w:hAnsi="Verdana" w:eastAsia="Verdana" w:cs="Verdana"/>
          <w:sz w:val="18"/>
          <w:szCs w:val="18"/>
        </w:rPr>
        <w:t>Voor Nederland behelst deze voorgestelde aanbeveling:</w:t>
      </w:r>
    </w:p>
    <w:p w:rsidR="00B20609" w:rsidP="00B20609" w:rsidRDefault="00B20609" w14:paraId="01F7E3E8" w14:textId="77777777">
      <w:pPr>
        <w:ind w:left="360"/>
        <w:rPr>
          <w:rFonts w:ascii="Verdana" w:hAnsi="Verdana" w:eastAsia="Verdana" w:cs="Verdana"/>
          <w:i/>
          <w:iCs/>
          <w:sz w:val="18"/>
          <w:szCs w:val="18"/>
        </w:rPr>
      </w:pPr>
      <w:r>
        <w:rPr>
          <w:rFonts w:ascii="Verdana" w:hAnsi="Verdana" w:eastAsia="Verdana" w:cs="Verdana"/>
          <w:sz w:val="18"/>
          <w:szCs w:val="18"/>
        </w:rPr>
        <w:t>“</w:t>
      </w:r>
      <w:r w:rsidRPr="5981DEC0">
        <w:rPr>
          <w:rFonts w:ascii="Verdana" w:hAnsi="Verdana" w:eastAsia="Verdana" w:cs="Verdana"/>
          <w:i/>
          <w:iCs/>
          <w:sz w:val="18"/>
          <w:szCs w:val="18"/>
        </w:rPr>
        <w:t xml:space="preserve">Versterk de publieke en private onderzoeks- en ontwikkelingsintensiteit door investeringen in strategische sleuteltechnologieën te ondersteunen. Adresseer het </w:t>
      </w:r>
      <w:proofErr w:type="spellStart"/>
      <w:r w:rsidRPr="5981DEC0">
        <w:rPr>
          <w:rFonts w:ascii="Verdana" w:hAnsi="Verdana" w:eastAsia="Verdana" w:cs="Verdana"/>
          <w:i/>
          <w:iCs/>
          <w:sz w:val="18"/>
          <w:szCs w:val="18"/>
        </w:rPr>
        <w:t>financieringsgat</w:t>
      </w:r>
      <w:proofErr w:type="spellEnd"/>
      <w:r w:rsidRPr="5981DEC0">
        <w:rPr>
          <w:rFonts w:ascii="Verdana" w:hAnsi="Verdana" w:eastAsia="Verdana" w:cs="Verdana"/>
          <w:i/>
          <w:iCs/>
          <w:sz w:val="18"/>
          <w:szCs w:val="18"/>
        </w:rPr>
        <w:t xml:space="preserve"> voor de doorgroei van startups naar </w:t>
      </w:r>
      <w:proofErr w:type="spellStart"/>
      <w:r w:rsidRPr="5981DEC0">
        <w:rPr>
          <w:rFonts w:ascii="Verdana" w:hAnsi="Verdana" w:eastAsia="Verdana" w:cs="Verdana"/>
          <w:i/>
          <w:iCs/>
          <w:sz w:val="18"/>
          <w:szCs w:val="18"/>
        </w:rPr>
        <w:t>scale</w:t>
      </w:r>
      <w:proofErr w:type="spellEnd"/>
      <w:r w:rsidRPr="5981DEC0">
        <w:rPr>
          <w:rFonts w:ascii="Verdana" w:hAnsi="Verdana" w:eastAsia="Verdana" w:cs="Verdana"/>
          <w:i/>
          <w:iCs/>
          <w:sz w:val="18"/>
          <w:szCs w:val="18"/>
        </w:rPr>
        <w:t>-ups door de beschikbare financieringsinstrumenten te versterken en prikkels te bieden om institutionele investeerders aan te trekken.</w:t>
      </w:r>
      <w:r>
        <w:rPr>
          <w:rFonts w:ascii="Verdana" w:hAnsi="Verdana" w:eastAsia="Verdana" w:cs="Verdana"/>
          <w:i/>
          <w:iCs/>
          <w:sz w:val="18"/>
          <w:szCs w:val="18"/>
        </w:rPr>
        <w:t>”</w:t>
      </w:r>
    </w:p>
    <w:p w:rsidR="00B20609" w:rsidP="00B20609" w:rsidRDefault="00D51873" w14:paraId="1DEEF44E" w14:textId="4DF29F0D">
      <w:pPr>
        <w:ind w:left="360"/>
        <w:rPr>
          <w:rFonts w:ascii="Verdana" w:hAnsi="Verdana" w:eastAsia="Verdana" w:cs="Verdana"/>
          <w:sz w:val="18"/>
          <w:szCs w:val="18"/>
        </w:rPr>
      </w:pPr>
      <w:r>
        <w:rPr>
          <w:rFonts w:ascii="Verdana" w:hAnsi="Verdana" w:eastAsia="Verdana" w:cs="Verdana"/>
          <w:sz w:val="18"/>
          <w:szCs w:val="18"/>
        </w:rPr>
        <w:t>De Commissie stelt voor andere</w:t>
      </w:r>
      <w:r w:rsidRPr="00D701D7" w:rsidR="00B20609">
        <w:rPr>
          <w:rFonts w:ascii="Verdana" w:hAnsi="Verdana" w:eastAsia="Verdana" w:cs="Verdana"/>
          <w:sz w:val="18"/>
          <w:szCs w:val="18"/>
        </w:rPr>
        <w:t xml:space="preserve"> lidstaten in deze categorie </w:t>
      </w:r>
      <w:r w:rsidR="00DF63A4">
        <w:rPr>
          <w:rFonts w:ascii="Verdana" w:hAnsi="Verdana" w:eastAsia="Verdana" w:cs="Verdana"/>
          <w:sz w:val="18"/>
          <w:szCs w:val="18"/>
        </w:rPr>
        <w:t xml:space="preserve">bijvoorbeeld </w:t>
      </w:r>
      <w:r>
        <w:rPr>
          <w:rFonts w:ascii="Verdana" w:hAnsi="Verdana" w:eastAsia="Verdana" w:cs="Verdana"/>
          <w:sz w:val="18"/>
          <w:szCs w:val="18"/>
        </w:rPr>
        <w:t>aanbevelingen voor</w:t>
      </w:r>
      <w:r w:rsidRPr="00D701D7" w:rsidR="00B20609">
        <w:rPr>
          <w:rFonts w:ascii="Verdana" w:hAnsi="Verdana" w:eastAsia="Verdana" w:cs="Verdana"/>
          <w:sz w:val="18"/>
          <w:szCs w:val="18"/>
        </w:rPr>
        <w:t xml:space="preserve"> om de levering van digitale diensten te stimuleren (Duitsland), regelgeving te vereenvoudigen (Frankrijk) en de links tussen universiteiten en het bedrijfsleven te versterken (Italië).</w:t>
      </w:r>
    </w:p>
    <w:p w:rsidRPr="007A2775" w:rsidR="00B20609" w:rsidP="00B20609" w:rsidRDefault="00B20609" w14:paraId="731F1094" w14:textId="77777777">
      <w:pPr>
        <w:pStyle w:val="Lijstalinea"/>
        <w:numPr>
          <w:ilvl w:val="0"/>
          <w:numId w:val="1"/>
        </w:numPr>
        <w:spacing w:line="256" w:lineRule="auto"/>
        <w:rPr>
          <w:rFonts w:ascii="Verdana" w:hAnsi="Verdana" w:eastAsia="Verdana" w:cs="Verdana"/>
          <w:sz w:val="18"/>
          <w:szCs w:val="18"/>
          <w:u w:val="single"/>
        </w:rPr>
      </w:pPr>
      <w:r w:rsidRPr="007A2775">
        <w:rPr>
          <w:rFonts w:ascii="Verdana" w:hAnsi="Verdana" w:eastAsia="Verdana" w:cs="Verdana"/>
          <w:sz w:val="18"/>
          <w:szCs w:val="18"/>
          <w:u w:val="single"/>
        </w:rPr>
        <w:t>Vereenvoudigingen</w:t>
      </w:r>
    </w:p>
    <w:p w:rsidRPr="003000EE" w:rsidR="00B20609" w:rsidP="00B20609" w:rsidRDefault="00D51873" w14:paraId="09CBF01C" w14:textId="3BB2AC27">
      <w:pPr>
        <w:spacing w:line="256" w:lineRule="auto"/>
        <w:ind w:left="360"/>
        <w:rPr>
          <w:rFonts w:ascii="Verdana" w:hAnsi="Verdana" w:eastAsia="Verdana" w:cs="Verdana"/>
          <w:sz w:val="18"/>
          <w:szCs w:val="18"/>
        </w:rPr>
      </w:pPr>
      <w:r>
        <w:rPr>
          <w:rFonts w:ascii="Verdana" w:hAnsi="Verdana" w:eastAsia="Verdana" w:cs="Verdana"/>
          <w:sz w:val="18"/>
          <w:szCs w:val="18"/>
        </w:rPr>
        <w:t>Voor Nederland stelt de Commissie</w:t>
      </w:r>
      <w:r w:rsidRPr="00D701D7" w:rsidR="00B20609">
        <w:rPr>
          <w:rFonts w:ascii="Verdana" w:hAnsi="Verdana" w:eastAsia="Verdana" w:cs="Verdana"/>
          <w:sz w:val="18"/>
          <w:szCs w:val="18"/>
        </w:rPr>
        <w:t xml:space="preserve"> op dit onderdeel </w:t>
      </w:r>
      <w:r>
        <w:rPr>
          <w:rFonts w:ascii="Verdana" w:hAnsi="Verdana" w:eastAsia="Verdana" w:cs="Verdana"/>
          <w:sz w:val="18"/>
          <w:szCs w:val="18"/>
        </w:rPr>
        <w:t>geen aanbeveling voor</w:t>
      </w:r>
      <w:r w:rsidRPr="00D701D7" w:rsidR="00B20609">
        <w:rPr>
          <w:rFonts w:ascii="Verdana" w:hAnsi="Verdana" w:eastAsia="Verdana" w:cs="Verdana"/>
          <w:sz w:val="18"/>
          <w:szCs w:val="18"/>
        </w:rPr>
        <w:t xml:space="preserve">. </w:t>
      </w:r>
      <w:r>
        <w:rPr>
          <w:rFonts w:ascii="Verdana" w:hAnsi="Verdana" w:eastAsia="Verdana" w:cs="Verdana"/>
          <w:sz w:val="18"/>
          <w:szCs w:val="18"/>
        </w:rPr>
        <w:t>Voor a</w:t>
      </w:r>
      <w:r w:rsidRPr="00D701D7" w:rsidR="00B20609">
        <w:rPr>
          <w:rFonts w:ascii="Verdana" w:hAnsi="Verdana" w:eastAsia="Verdana" w:cs="Verdana"/>
          <w:sz w:val="18"/>
          <w:szCs w:val="18"/>
        </w:rPr>
        <w:t xml:space="preserve">ndere lidstaten </w:t>
      </w:r>
      <w:r>
        <w:rPr>
          <w:rFonts w:ascii="Verdana" w:hAnsi="Verdana" w:eastAsia="Verdana" w:cs="Verdana"/>
          <w:sz w:val="18"/>
          <w:szCs w:val="18"/>
        </w:rPr>
        <w:t xml:space="preserve">stelt de Commissie </w:t>
      </w:r>
      <w:r w:rsidRPr="00D701D7" w:rsidR="00B20609">
        <w:rPr>
          <w:rFonts w:ascii="Verdana" w:hAnsi="Verdana" w:eastAsia="Verdana" w:cs="Verdana"/>
          <w:sz w:val="18"/>
          <w:szCs w:val="18"/>
        </w:rPr>
        <w:t xml:space="preserve">onder andere </w:t>
      </w:r>
      <w:r>
        <w:rPr>
          <w:rFonts w:ascii="Verdana" w:hAnsi="Verdana" w:eastAsia="Verdana" w:cs="Verdana"/>
          <w:sz w:val="18"/>
          <w:szCs w:val="18"/>
        </w:rPr>
        <w:t>aanbevelingen voor</w:t>
      </w:r>
      <w:r w:rsidRPr="00D701D7" w:rsidR="00B20609">
        <w:rPr>
          <w:rFonts w:ascii="Verdana" w:hAnsi="Verdana" w:eastAsia="Verdana" w:cs="Verdana"/>
          <w:sz w:val="18"/>
          <w:szCs w:val="18"/>
        </w:rPr>
        <w:t xml:space="preserve"> om de capaciteit van overheden op lokaal niveau te versterken (Italië), fragmentatie in regelgeving tussen regio’s te verkleinen (Spanje) en zorg te dragen voor een stabiel en duidelijk juridisch kader voor het bedrijfsleven (Polen). </w:t>
      </w:r>
    </w:p>
    <w:p w:rsidR="00B20609" w:rsidP="00B20609" w:rsidRDefault="00B20609" w14:paraId="6FC71CD7" w14:textId="77777777">
      <w:pPr>
        <w:pStyle w:val="Lijstalinea"/>
        <w:numPr>
          <w:ilvl w:val="0"/>
          <w:numId w:val="1"/>
        </w:numPr>
        <w:spacing w:line="256" w:lineRule="auto"/>
        <w:rPr>
          <w:rFonts w:ascii="Verdana" w:hAnsi="Verdana" w:eastAsia="Verdana" w:cs="Verdana"/>
          <w:sz w:val="18"/>
          <w:szCs w:val="18"/>
          <w:u w:val="single"/>
        </w:rPr>
      </w:pPr>
      <w:proofErr w:type="spellStart"/>
      <w:r>
        <w:rPr>
          <w:rFonts w:ascii="Verdana" w:hAnsi="Verdana" w:eastAsia="Verdana" w:cs="Verdana"/>
          <w:sz w:val="18"/>
          <w:szCs w:val="18"/>
          <w:u w:val="single"/>
        </w:rPr>
        <w:t>Decarbonisatie</w:t>
      </w:r>
      <w:proofErr w:type="spellEnd"/>
      <w:r>
        <w:rPr>
          <w:rFonts w:ascii="Verdana" w:hAnsi="Verdana" w:eastAsia="Verdana" w:cs="Verdana"/>
          <w:sz w:val="18"/>
          <w:szCs w:val="18"/>
          <w:u w:val="single"/>
        </w:rPr>
        <w:t>, energiebetaalbaarheid en veiligheid</w:t>
      </w:r>
    </w:p>
    <w:p w:rsidR="00B20609" w:rsidP="00B20609" w:rsidRDefault="00B20609" w14:paraId="44AA4690" w14:textId="77777777">
      <w:pPr>
        <w:ind w:firstLine="360"/>
        <w:rPr>
          <w:rFonts w:ascii="Verdana" w:hAnsi="Verdana" w:eastAsia="Verdana" w:cs="Verdana"/>
          <w:sz w:val="18"/>
          <w:szCs w:val="18"/>
        </w:rPr>
      </w:pPr>
      <w:r w:rsidRPr="003000EE">
        <w:rPr>
          <w:rFonts w:ascii="Verdana" w:hAnsi="Verdana" w:eastAsia="Verdana" w:cs="Verdana"/>
          <w:sz w:val="18"/>
          <w:szCs w:val="18"/>
        </w:rPr>
        <w:t>Voor Nederland behelst deze voorgestelde aanbeveling:</w:t>
      </w:r>
    </w:p>
    <w:p w:rsidR="00B20609" w:rsidP="00B20609" w:rsidRDefault="00B20609" w14:paraId="5361CFDD" w14:textId="77777777">
      <w:pPr>
        <w:ind w:left="360"/>
        <w:rPr>
          <w:rFonts w:ascii="Verdana" w:hAnsi="Verdana" w:eastAsia="Verdana" w:cs="Verdana"/>
          <w:sz w:val="18"/>
          <w:szCs w:val="18"/>
        </w:rPr>
      </w:pPr>
      <w:r>
        <w:rPr>
          <w:rFonts w:ascii="Verdana" w:hAnsi="Verdana" w:eastAsia="Verdana" w:cs="Verdana"/>
          <w:sz w:val="18"/>
          <w:szCs w:val="18"/>
        </w:rPr>
        <w:t>“</w:t>
      </w:r>
      <w:r w:rsidRPr="5981DEC0">
        <w:rPr>
          <w:rFonts w:ascii="Verdana" w:hAnsi="Verdana" w:eastAsia="Verdana" w:cs="Verdana"/>
          <w:i/>
          <w:iCs/>
          <w:sz w:val="18"/>
          <w:szCs w:val="18"/>
        </w:rPr>
        <w:t>Verminder de afhankelijkheid van fossiele brandstoffen door de uitrol van hernieuwbare energie en energie-efficiëntie te vergroten, specifiek in de gebouwde omgeving</w:t>
      </w:r>
      <w:r>
        <w:rPr>
          <w:rFonts w:ascii="Verdana" w:hAnsi="Verdana" w:eastAsia="Verdana" w:cs="Verdana"/>
          <w:i/>
          <w:iCs/>
          <w:sz w:val="18"/>
          <w:szCs w:val="18"/>
        </w:rPr>
        <w:t>.</w:t>
      </w:r>
      <w:r w:rsidRPr="003000EE">
        <w:rPr>
          <w:rFonts w:ascii="Verdana" w:hAnsi="Verdana" w:eastAsia="Verdana" w:cs="Verdana"/>
          <w:i/>
          <w:iCs/>
          <w:sz w:val="18"/>
          <w:szCs w:val="18"/>
        </w:rPr>
        <w:t xml:space="preserve"> </w:t>
      </w:r>
      <w:r>
        <w:rPr>
          <w:rFonts w:ascii="Verdana" w:hAnsi="Verdana" w:eastAsia="Verdana" w:cs="Verdana"/>
          <w:i/>
          <w:iCs/>
          <w:sz w:val="18"/>
          <w:szCs w:val="18"/>
        </w:rPr>
        <w:t xml:space="preserve">Verminder netcongestie door de capaciteit van het transmissie- en distributienet te versterken, flexibele oplossingen te implementeren, grensoverschrijdende handel te maximaliseren, en het verder versimpelen van vergunningsprocedures. </w:t>
      </w:r>
      <w:r w:rsidRPr="5981DEC0">
        <w:rPr>
          <w:rFonts w:ascii="Verdana" w:hAnsi="Verdana" w:eastAsia="Verdana" w:cs="Verdana"/>
          <w:i/>
          <w:iCs/>
          <w:sz w:val="18"/>
          <w:szCs w:val="18"/>
        </w:rPr>
        <w:t>Implementeer structurele maatregelen om overmatige stikstofdepositie en de verslechtering van waterkwaliteit effectief aan te pakken, in het bijzonder door extra stappen te zetten op het gebied van duurzame landbouw</w:t>
      </w:r>
      <w:r>
        <w:rPr>
          <w:rFonts w:ascii="Verdana" w:hAnsi="Verdana" w:eastAsia="Verdana" w:cs="Verdana"/>
          <w:i/>
          <w:iCs/>
          <w:sz w:val="18"/>
          <w:szCs w:val="18"/>
        </w:rPr>
        <w:t>.”</w:t>
      </w:r>
    </w:p>
    <w:p w:rsidRPr="003000EE" w:rsidR="00B20609" w:rsidP="00B20609" w:rsidRDefault="00D51873" w14:paraId="6A702B0C" w14:textId="4C6961CF">
      <w:pPr>
        <w:ind w:left="360"/>
        <w:rPr>
          <w:rFonts w:ascii="Verdana" w:hAnsi="Verdana" w:eastAsia="Verdana" w:cs="Verdana"/>
          <w:sz w:val="18"/>
          <w:szCs w:val="18"/>
        </w:rPr>
      </w:pPr>
      <w:r>
        <w:rPr>
          <w:rFonts w:ascii="Verdana" w:hAnsi="Verdana" w:eastAsia="Verdana" w:cs="Verdana"/>
          <w:sz w:val="18"/>
          <w:szCs w:val="18"/>
        </w:rPr>
        <w:t>Voor a</w:t>
      </w:r>
      <w:r w:rsidRPr="00D701D7" w:rsidR="00B20609">
        <w:rPr>
          <w:rFonts w:ascii="Verdana" w:hAnsi="Verdana" w:eastAsia="Verdana" w:cs="Verdana"/>
          <w:sz w:val="18"/>
          <w:szCs w:val="18"/>
        </w:rPr>
        <w:t xml:space="preserve">ndere lidstaten </w:t>
      </w:r>
      <w:r>
        <w:rPr>
          <w:rFonts w:ascii="Verdana" w:hAnsi="Verdana" w:eastAsia="Verdana" w:cs="Verdana"/>
          <w:sz w:val="18"/>
          <w:szCs w:val="18"/>
        </w:rPr>
        <w:t>stelt de Commissie</w:t>
      </w:r>
      <w:r w:rsidRPr="00D701D7" w:rsidR="00B20609">
        <w:rPr>
          <w:rFonts w:ascii="Verdana" w:hAnsi="Verdana" w:eastAsia="Verdana" w:cs="Verdana"/>
          <w:sz w:val="18"/>
          <w:szCs w:val="18"/>
        </w:rPr>
        <w:t xml:space="preserve"> in deze categorie</w:t>
      </w:r>
      <w:r>
        <w:rPr>
          <w:rFonts w:ascii="Verdana" w:hAnsi="Verdana" w:eastAsia="Verdana" w:cs="Verdana"/>
          <w:sz w:val="18"/>
          <w:szCs w:val="18"/>
        </w:rPr>
        <w:t xml:space="preserve"> bijvoorbeeld</w:t>
      </w:r>
      <w:r w:rsidRPr="00D701D7" w:rsidR="00B20609">
        <w:rPr>
          <w:rFonts w:ascii="Verdana" w:hAnsi="Verdana" w:eastAsia="Verdana" w:cs="Verdana"/>
          <w:sz w:val="18"/>
          <w:szCs w:val="18"/>
        </w:rPr>
        <w:t xml:space="preserve"> onder meer </w:t>
      </w:r>
      <w:r>
        <w:rPr>
          <w:rFonts w:ascii="Verdana" w:hAnsi="Verdana" w:eastAsia="Verdana" w:cs="Verdana"/>
          <w:sz w:val="18"/>
          <w:szCs w:val="18"/>
        </w:rPr>
        <w:t>aanbevelingen voor</w:t>
      </w:r>
      <w:r w:rsidRPr="00D701D7" w:rsidR="00B20609">
        <w:rPr>
          <w:rFonts w:ascii="Verdana" w:hAnsi="Verdana" w:eastAsia="Verdana" w:cs="Verdana"/>
          <w:sz w:val="18"/>
          <w:szCs w:val="18"/>
        </w:rPr>
        <w:t xml:space="preserve"> om het treinnetwerk te renoveren (Duitsland), prikkels te vergroten om de mobiliteitssector te verduurzamen (Frankrijk) en klimaatrisico’s inclusief economische impact te mitigeren (Italië).</w:t>
      </w:r>
    </w:p>
    <w:p w:rsidR="00B20609" w:rsidP="00B20609" w:rsidRDefault="00B20609" w14:paraId="6C305C6C" w14:textId="77777777">
      <w:pPr>
        <w:pStyle w:val="Lijstalinea"/>
        <w:numPr>
          <w:ilvl w:val="0"/>
          <w:numId w:val="1"/>
        </w:numPr>
        <w:spacing w:line="256" w:lineRule="auto"/>
        <w:rPr>
          <w:rFonts w:ascii="Verdana" w:hAnsi="Verdana" w:eastAsia="Verdana" w:cs="Verdana"/>
          <w:sz w:val="18"/>
          <w:szCs w:val="18"/>
          <w:u w:val="single"/>
        </w:rPr>
      </w:pPr>
      <w:r>
        <w:rPr>
          <w:rFonts w:ascii="Verdana" w:hAnsi="Verdana" w:eastAsia="Verdana" w:cs="Verdana"/>
          <w:sz w:val="18"/>
          <w:szCs w:val="18"/>
          <w:u w:val="single"/>
        </w:rPr>
        <w:t>Vaardigheden, kwalitatieve banen en sociale rechtvaardigheid</w:t>
      </w:r>
    </w:p>
    <w:p w:rsidRPr="003000EE" w:rsidR="00B20609" w:rsidP="00B20609" w:rsidRDefault="00B20609" w14:paraId="16569F1C" w14:textId="77777777">
      <w:pPr>
        <w:ind w:firstLine="360"/>
        <w:rPr>
          <w:rFonts w:ascii="Verdana" w:hAnsi="Verdana" w:eastAsia="Verdana" w:cs="Verdana"/>
          <w:sz w:val="18"/>
          <w:szCs w:val="18"/>
        </w:rPr>
      </w:pPr>
      <w:r w:rsidRPr="003000EE">
        <w:rPr>
          <w:rFonts w:ascii="Verdana" w:hAnsi="Verdana" w:eastAsia="Verdana" w:cs="Verdana"/>
          <w:sz w:val="18"/>
          <w:szCs w:val="18"/>
        </w:rPr>
        <w:t>Voor Nederland behelst deze voorgestelde aanbeveling:</w:t>
      </w:r>
    </w:p>
    <w:p w:rsidR="00B20609" w:rsidP="00B20609" w:rsidRDefault="00B20609" w14:paraId="1422C306" w14:textId="77777777">
      <w:pPr>
        <w:ind w:left="360"/>
        <w:rPr>
          <w:rFonts w:ascii="Verdana" w:hAnsi="Verdana" w:eastAsia="Verdana" w:cs="Verdana"/>
          <w:i/>
          <w:iCs/>
          <w:sz w:val="18"/>
          <w:szCs w:val="18"/>
        </w:rPr>
      </w:pPr>
      <w:r w:rsidRPr="003000EE">
        <w:rPr>
          <w:rFonts w:ascii="Verdana" w:hAnsi="Verdana" w:eastAsia="Verdana" w:cs="Verdana"/>
          <w:i/>
          <w:iCs/>
          <w:sz w:val="18"/>
          <w:szCs w:val="18"/>
        </w:rPr>
        <w:t>“Neem en implementeer maatregelen om de prikkels voor flexibele en tijdelijke contracten te verminderen.</w:t>
      </w:r>
      <w:r>
        <w:rPr>
          <w:rFonts w:ascii="Verdana" w:hAnsi="Verdana" w:eastAsia="Verdana" w:cs="Verdana"/>
          <w:i/>
          <w:iCs/>
          <w:sz w:val="18"/>
          <w:szCs w:val="18"/>
        </w:rPr>
        <w:t xml:space="preserve"> </w:t>
      </w:r>
      <w:r w:rsidRPr="5981DEC0">
        <w:rPr>
          <w:rFonts w:ascii="Verdana" w:hAnsi="Verdana" w:eastAsia="Verdana" w:cs="Verdana"/>
          <w:i/>
          <w:iCs/>
          <w:sz w:val="18"/>
          <w:szCs w:val="18"/>
        </w:rPr>
        <w:t>Voer uitgebreide maatregelen in om de structurele en sectorspecifieke arbeidsmarkt en</w:t>
      </w:r>
      <w:r>
        <w:rPr>
          <w:rFonts w:ascii="Verdana" w:hAnsi="Verdana" w:eastAsia="Verdana" w:cs="Verdana"/>
          <w:i/>
          <w:iCs/>
          <w:sz w:val="18"/>
          <w:szCs w:val="18"/>
        </w:rPr>
        <w:t xml:space="preserve"> vaardigheden</w:t>
      </w:r>
      <w:r w:rsidRPr="5981DEC0">
        <w:rPr>
          <w:rFonts w:ascii="Verdana" w:hAnsi="Verdana" w:eastAsia="Verdana" w:cs="Verdana"/>
          <w:i/>
          <w:iCs/>
          <w:sz w:val="18"/>
          <w:szCs w:val="18"/>
        </w:rPr>
        <w:t>-tekorten aan te pakken</w:t>
      </w:r>
      <w:r>
        <w:rPr>
          <w:rFonts w:ascii="Verdana" w:hAnsi="Verdana" w:eastAsia="Verdana" w:cs="Verdana"/>
          <w:i/>
          <w:iCs/>
          <w:sz w:val="18"/>
          <w:szCs w:val="18"/>
        </w:rPr>
        <w:t xml:space="preserve">, </w:t>
      </w:r>
      <w:proofErr w:type="spellStart"/>
      <w:r>
        <w:rPr>
          <w:rFonts w:ascii="Verdana" w:hAnsi="Verdana" w:eastAsia="Verdana" w:cs="Verdana"/>
          <w:i/>
          <w:iCs/>
          <w:sz w:val="18"/>
          <w:szCs w:val="18"/>
        </w:rPr>
        <w:t>onder</w:t>
      </w:r>
      <w:r w:rsidRPr="5981DEC0">
        <w:rPr>
          <w:rFonts w:ascii="Verdana" w:hAnsi="Verdana" w:eastAsia="Verdana" w:cs="Verdana"/>
          <w:i/>
          <w:iCs/>
          <w:sz w:val="18"/>
          <w:szCs w:val="18"/>
        </w:rPr>
        <w:t>nder</w:t>
      </w:r>
      <w:proofErr w:type="spellEnd"/>
      <w:r w:rsidRPr="5981DEC0">
        <w:rPr>
          <w:rFonts w:ascii="Verdana" w:hAnsi="Verdana" w:eastAsia="Verdana" w:cs="Verdana"/>
          <w:i/>
          <w:iCs/>
          <w:sz w:val="18"/>
          <w:szCs w:val="18"/>
        </w:rPr>
        <w:t xml:space="preserve"> andere door onbenut arbeidspotentieel te benutten, door </w:t>
      </w:r>
      <w:r>
        <w:rPr>
          <w:rFonts w:ascii="Verdana" w:hAnsi="Verdana" w:eastAsia="Verdana" w:cs="Verdana"/>
          <w:i/>
          <w:iCs/>
          <w:sz w:val="18"/>
          <w:szCs w:val="18"/>
        </w:rPr>
        <w:t>omscholing en bijscholing voor iedereen te versterken, gericht en</w:t>
      </w:r>
      <w:r w:rsidRPr="5981DEC0">
        <w:rPr>
          <w:rFonts w:ascii="Verdana" w:hAnsi="Verdana" w:eastAsia="Verdana" w:cs="Verdana"/>
          <w:i/>
          <w:iCs/>
          <w:sz w:val="18"/>
          <w:szCs w:val="18"/>
        </w:rPr>
        <w:t xml:space="preserve"> activerend arbeidsmarktbeleid</w:t>
      </w:r>
      <w:r>
        <w:rPr>
          <w:rFonts w:ascii="Verdana" w:hAnsi="Verdana" w:eastAsia="Verdana" w:cs="Verdana"/>
          <w:i/>
          <w:iCs/>
          <w:sz w:val="18"/>
          <w:szCs w:val="18"/>
        </w:rPr>
        <w:t>, en moedig</w:t>
      </w:r>
      <w:r w:rsidRPr="5981DEC0">
        <w:rPr>
          <w:rFonts w:ascii="Verdana" w:hAnsi="Verdana" w:eastAsia="Verdana" w:cs="Verdana"/>
          <w:i/>
          <w:iCs/>
          <w:sz w:val="18"/>
          <w:szCs w:val="18"/>
        </w:rPr>
        <w:t xml:space="preserve">mobiliteit naar </w:t>
      </w:r>
      <w:proofErr w:type="spellStart"/>
      <w:r w:rsidRPr="5981DEC0">
        <w:rPr>
          <w:rFonts w:ascii="Verdana" w:hAnsi="Verdana" w:eastAsia="Verdana" w:cs="Verdana"/>
          <w:i/>
          <w:iCs/>
          <w:sz w:val="18"/>
          <w:szCs w:val="18"/>
        </w:rPr>
        <w:t>hoog-productieve</w:t>
      </w:r>
      <w:proofErr w:type="spellEnd"/>
      <w:r w:rsidRPr="5981DEC0">
        <w:rPr>
          <w:rFonts w:ascii="Verdana" w:hAnsi="Verdana" w:eastAsia="Verdana" w:cs="Verdana"/>
          <w:i/>
          <w:iCs/>
          <w:sz w:val="18"/>
          <w:szCs w:val="18"/>
        </w:rPr>
        <w:t xml:space="preserve"> en maatschappelijk cruciale sectoren aan.</w:t>
      </w:r>
      <w:r>
        <w:rPr>
          <w:rFonts w:ascii="Verdana" w:hAnsi="Verdana" w:eastAsia="Verdana" w:cs="Verdana"/>
          <w:i/>
          <w:iCs/>
          <w:sz w:val="18"/>
          <w:szCs w:val="18"/>
        </w:rPr>
        <w:t xml:space="preserve"> </w:t>
      </w:r>
      <w:r w:rsidRPr="00D701D7">
        <w:rPr>
          <w:rFonts w:ascii="Verdana" w:hAnsi="Verdana" w:eastAsia="Verdana" w:cs="Verdana"/>
          <w:i/>
          <w:iCs/>
          <w:sz w:val="18"/>
          <w:szCs w:val="18"/>
        </w:rPr>
        <w:t xml:space="preserve">Verbeter </w:t>
      </w:r>
      <w:proofErr w:type="spellStart"/>
      <w:r w:rsidRPr="00D701D7">
        <w:rPr>
          <w:rFonts w:ascii="Verdana" w:hAnsi="Verdana" w:eastAsia="Verdana" w:cs="Verdana"/>
          <w:i/>
          <w:iCs/>
          <w:sz w:val="18"/>
          <w:szCs w:val="18"/>
        </w:rPr>
        <w:t>basisvaaridgheden</w:t>
      </w:r>
      <w:proofErr w:type="spellEnd"/>
      <w:r w:rsidRPr="00D701D7">
        <w:rPr>
          <w:rFonts w:ascii="Verdana" w:hAnsi="Verdana" w:eastAsia="Verdana" w:cs="Verdana"/>
          <w:i/>
          <w:iCs/>
          <w:sz w:val="18"/>
          <w:szCs w:val="18"/>
        </w:rPr>
        <w:t>, waaronder door het adresseren van het lerarentekort en gerichte ondersteuning voor achterstandsscholen en stimuleer deelname aan STEM-programma’s door gerichte educatieve ondersteuning en carrièreadvies, in het bijzonder voor vrouwen en studenten met een migratieachterstand</w:t>
      </w:r>
      <w:r>
        <w:rPr>
          <w:rFonts w:ascii="Verdana" w:hAnsi="Verdana" w:eastAsia="Verdana" w:cs="Verdana"/>
          <w:i/>
          <w:iCs/>
          <w:sz w:val="18"/>
          <w:szCs w:val="18"/>
        </w:rPr>
        <w:t>”.</w:t>
      </w:r>
    </w:p>
    <w:p w:rsidRPr="00C27BD7" w:rsidR="00B20609" w:rsidP="00B20609" w:rsidRDefault="00D51873" w14:paraId="14A08C75" w14:textId="56770191">
      <w:pPr>
        <w:ind w:left="360"/>
        <w:rPr>
          <w:rFonts w:ascii="Verdana" w:hAnsi="Verdana" w:eastAsia="Verdana" w:cs="Verdana"/>
          <w:sz w:val="18"/>
          <w:szCs w:val="18"/>
        </w:rPr>
      </w:pPr>
      <w:r>
        <w:rPr>
          <w:rFonts w:ascii="Verdana" w:hAnsi="Verdana" w:eastAsia="Verdana" w:cs="Verdana"/>
          <w:sz w:val="18"/>
          <w:szCs w:val="18"/>
        </w:rPr>
        <w:lastRenderedPageBreak/>
        <w:t>Voor a</w:t>
      </w:r>
      <w:r w:rsidRPr="00C27BD7" w:rsidR="00B20609">
        <w:rPr>
          <w:rFonts w:ascii="Verdana" w:hAnsi="Verdana" w:eastAsia="Verdana" w:cs="Verdana"/>
          <w:sz w:val="18"/>
          <w:szCs w:val="18"/>
        </w:rPr>
        <w:t xml:space="preserve">ndere lidstaten </w:t>
      </w:r>
      <w:r>
        <w:rPr>
          <w:rFonts w:ascii="Verdana" w:hAnsi="Verdana" w:eastAsia="Verdana" w:cs="Verdana"/>
          <w:sz w:val="18"/>
          <w:szCs w:val="18"/>
        </w:rPr>
        <w:t xml:space="preserve">stelt de Commissie </w:t>
      </w:r>
      <w:r w:rsidRPr="00C27BD7" w:rsidR="00B20609">
        <w:rPr>
          <w:rFonts w:ascii="Verdana" w:hAnsi="Verdana" w:eastAsia="Verdana" w:cs="Verdana"/>
          <w:sz w:val="18"/>
          <w:szCs w:val="18"/>
        </w:rPr>
        <w:t xml:space="preserve">in deze categorie </w:t>
      </w:r>
      <w:r>
        <w:rPr>
          <w:rFonts w:ascii="Verdana" w:hAnsi="Verdana" w:eastAsia="Verdana" w:cs="Verdana"/>
          <w:sz w:val="18"/>
          <w:szCs w:val="18"/>
        </w:rPr>
        <w:t xml:space="preserve">bijvoorbeeld </w:t>
      </w:r>
      <w:r w:rsidRPr="00C27BD7" w:rsidR="00B20609">
        <w:rPr>
          <w:rFonts w:ascii="Verdana" w:hAnsi="Verdana" w:eastAsia="Verdana" w:cs="Verdana"/>
          <w:sz w:val="18"/>
          <w:szCs w:val="18"/>
        </w:rPr>
        <w:t xml:space="preserve">onder andere </w:t>
      </w:r>
      <w:r>
        <w:rPr>
          <w:rFonts w:ascii="Verdana" w:hAnsi="Verdana" w:eastAsia="Verdana" w:cs="Verdana"/>
          <w:sz w:val="18"/>
          <w:szCs w:val="18"/>
        </w:rPr>
        <w:t>aanbevelingen voor</w:t>
      </w:r>
      <w:r w:rsidRPr="00C27BD7" w:rsidR="00B20609">
        <w:rPr>
          <w:rFonts w:ascii="Verdana" w:hAnsi="Verdana" w:eastAsia="Verdana" w:cs="Verdana"/>
          <w:sz w:val="18"/>
          <w:szCs w:val="18"/>
        </w:rPr>
        <w:t xml:space="preserve"> om het aanbod van arbeid te verhogen en het tekort aan geschoolde werknemers aan te pakken (Duitsland), de prestaties en rechtvaardigheid van het onderwijssysteem te verbeteren (Frankrijk) en de betaalbare toegang tot kwalitatieve kinderopvang en langdurige zorg te verbeteren (Italië).</w:t>
      </w:r>
    </w:p>
    <w:p w:rsidR="00B20609" w:rsidP="00B20609" w:rsidRDefault="00B20609" w14:paraId="205C7E38" w14:textId="363EFE7D">
      <w:r w:rsidRPr="5981DEC0">
        <w:rPr>
          <w:rFonts w:ascii="Verdana" w:hAnsi="Verdana" w:eastAsia="Verdana" w:cs="Verdana"/>
          <w:sz w:val="18"/>
          <w:szCs w:val="18"/>
        </w:rPr>
        <w:t xml:space="preserve">Een overzicht van de Commissievoorstellen voor aanbevelingen van de Raad </w:t>
      </w:r>
      <w:r w:rsidR="00D51873">
        <w:rPr>
          <w:rFonts w:ascii="Verdana" w:hAnsi="Verdana" w:eastAsia="Verdana" w:cs="Verdana"/>
          <w:sz w:val="18"/>
          <w:szCs w:val="18"/>
        </w:rPr>
        <w:t xml:space="preserve">aan de lidstaten </w:t>
      </w:r>
      <w:r w:rsidRPr="5981DEC0">
        <w:rPr>
          <w:rFonts w:ascii="Verdana" w:hAnsi="Verdana" w:eastAsia="Verdana" w:cs="Verdana"/>
          <w:sz w:val="18"/>
          <w:szCs w:val="18"/>
        </w:rPr>
        <w:t xml:space="preserve">per beleidsterrein en lidstaat is opgenomen in annex 1. </w:t>
      </w:r>
    </w:p>
    <w:p w:rsidR="00B20609" w:rsidP="00B20609" w:rsidRDefault="00A2307B" w14:paraId="1762EA1C" w14:textId="774AD816">
      <w:r>
        <w:rPr>
          <w:rFonts w:ascii="Verdana" w:hAnsi="Verdana" w:eastAsia="Verdana" w:cs="Verdana"/>
          <w:sz w:val="18"/>
          <w:szCs w:val="18"/>
        </w:rPr>
        <w:t>Nederland</w:t>
      </w:r>
      <w:r w:rsidRPr="5981DEC0" w:rsidR="00B20609">
        <w:rPr>
          <w:rFonts w:ascii="Verdana" w:hAnsi="Verdana" w:eastAsia="Verdana" w:cs="Verdana"/>
          <w:sz w:val="18"/>
          <w:szCs w:val="18"/>
        </w:rPr>
        <w:t xml:space="preserve"> hecht waarde aan het Europees Semester en de landspecifieke aanbevelingen, omdat de Raad de lidstaten hiermee wijst op belangrijke mogelijkheden om hun financieel-economische beleid te versterken en zo ook het functioneren en stabiliteit van de Economische en Monetaire Unie te versterken. Een sterke en stabiele Europese Unie, met sterke lidstaten die duurzame en opwaartse economische convergentie en financiële stabiliteit nastreven, is voor Nederland </w:t>
      </w:r>
      <w:r w:rsidRPr="5981DEC0" w:rsidR="00DF63A4">
        <w:rPr>
          <w:rFonts w:ascii="Verdana" w:hAnsi="Verdana" w:eastAsia="Verdana" w:cs="Verdana"/>
          <w:sz w:val="18"/>
          <w:szCs w:val="18"/>
        </w:rPr>
        <w:t xml:space="preserve">van groot belang </w:t>
      </w:r>
      <w:r w:rsidRPr="5981DEC0" w:rsidR="00B20609">
        <w:rPr>
          <w:rFonts w:ascii="Verdana" w:hAnsi="Verdana" w:eastAsia="Verdana" w:cs="Verdana"/>
          <w:sz w:val="18"/>
          <w:szCs w:val="18"/>
        </w:rPr>
        <w:t xml:space="preserve">als open economie met aanzienlijke verwevenheid van financiële- en handelsstromen binnen de Europese Unie. De huidige geopolitieke ontwikkelingen hebben het belang voor Nederland van een financieel-economisch sterke </w:t>
      </w:r>
      <w:r w:rsidR="00DF63A4">
        <w:rPr>
          <w:rFonts w:ascii="Verdana" w:hAnsi="Verdana" w:eastAsia="Verdana" w:cs="Verdana"/>
          <w:sz w:val="18"/>
          <w:szCs w:val="18"/>
        </w:rPr>
        <w:t>EU</w:t>
      </w:r>
      <w:r w:rsidRPr="5981DEC0" w:rsidR="00B20609">
        <w:rPr>
          <w:rFonts w:ascii="Verdana" w:hAnsi="Verdana" w:eastAsia="Verdana" w:cs="Verdana"/>
          <w:sz w:val="18"/>
          <w:szCs w:val="18"/>
        </w:rPr>
        <w:t xml:space="preserve"> nog verder vergroot. Vanzelfsprekend hoort daar ook bij dat we in Nederland blijven werken aan ons duurzame groeipotentieel en het versterken van onze financieel-economische stabiliteit. </w:t>
      </w:r>
    </w:p>
    <w:p w:rsidR="00B20609" w:rsidP="00B20609" w:rsidRDefault="00A2307B" w14:paraId="48BBFDC0" w14:textId="48D1045A">
      <w:r>
        <w:rPr>
          <w:rFonts w:ascii="Verdana" w:hAnsi="Verdana" w:eastAsia="Verdana" w:cs="Verdana"/>
          <w:sz w:val="18"/>
          <w:szCs w:val="18"/>
        </w:rPr>
        <w:t>Nederland</w:t>
      </w:r>
      <w:r w:rsidRPr="5981DEC0" w:rsidR="00B20609">
        <w:rPr>
          <w:rFonts w:ascii="Verdana" w:hAnsi="Verdana" w:eastAsia="Verdana" w:cs="Verdana"/>
          <w:sz w:val="18"/>
          <w:szCs w:val="18"/>
        </w:rPr>
        <w:t xml:space="preserve"> hecht aan het behouden van de focus van het Semester op economisch, begrotings- en werkgelegenheidsbeleid. Dit is met de voorliggende landspecifieke aanbevelingen voldoende het geval. De landspecifieke aanbevelingen die de Commissie voorstelt zijn in de ogen van </w:t>
      </w:r>
      <w:r>
        <w:rPr>
          <w:rFonts w:ascii="Verdana" w:hAnsi="Verdana" w:eastAsia="Verdana" w:cs="Verdana"/>
          <w:sz w:val="18"/>
          <w:szCs w:val="18"/>
        </w:rPr>
        <w:t>Nederland</w:t>
      </w:r>
      <w:r w:rsidRPr="5981DEC0" w:rsidR="00B20609">
        <w:rPr>
          <w:rFonts w:ascii="Verdana" w:hAnsi="Verdana" w:eastAsia="Verdana" w:cs="Verdana"/>
          <w:sz w:val="18"/>
          <w:szCs w:val="18"/>
        </w:rPr>
        <w:t xml:space="preserve"> gebaseerd op een grondige analyse in de landenrapporten die de Commissie opstelde en aanbevelingen van de Raad voor het economische beleid van de eurozone. </w:t>
      </w:r>
      <w:r w:rsidR="00B20609">
        <w:rPr>
          <w:rFonts w:ascii="Verdana" w:hAnsi="Verdana" w:eastAsia="Verdana" w:cs="Verdana"/>
          <w:sz w:val="18"/>
          <w:szCs w:val="18"/>
        </w:rPr>
        <w:t xml:space="preserve">Het kabinet herkent zich in de aanbevelingen. </w:t>
      </w:r>
      <w:r>
        <w:rPr>
          <w:rFonts w:ascii="Verdana" w:hAnsi="Verdana" w:eastAsia="Verdana" w:cs="Verdana"/>
          <w:sz w:val="18"/>
          <w:szCs w:val="18"/>
        </w:rPr>
        <w:t>Nederland</w:t>
      </w:r>
      <w:r w:rsidRPr="5981DEC0" w:rsidR="00B20609">
        <w:rPr>
          <w:rFonts w:ascii="Verdana" w:hAnsi="Verdana" w:eastAsia="Verdana" w:cs="Verdana"/>
          <w:sz w:val="18"/>
          <w:szCs w:val="18"/>
        </w:rPr>
        <w:t xml:space="preserve"> vindt bovendien dat de landspecifieke aanbevelingen voldoende beleidsvrijheid geven om de aanbevelingen te adresseren</w:t>
      </w:r>
      <w:r w:rsidR="00B20609">
        <w:rPr>
          <w:rFonts w:ascii="Verdana" w:hAnsi="Verdana" w:eastAsia="Verdana" w:cs="Verdana"/>
          <w:sz w:val="18"/>
          <w:szCs w:val="18"/>
        </w:rPr>
        <w:t>. Deze beleidsvrijheid is</w:t>
      </w:r>
      <w:r w:rsidRPr="5981DEC0" w:rsidR="00B20609">
        <w:rPr>
          <w:rFonts w:ascii="Verdana" w:hAnsi="Verdana" w:eastAsia="Verdana" w:cs="Verdana"/>
          <w:sz w:val="18"/>
          <w:szCs w:val="18"/>
        </w:rPr>
        <w:t xml:space="preserve"> van belang voor nationaal draagvlak, eigenaarschap en uitvoerbaarheid.</w:t>
      </w:r>
      <w:r w:rsidR="00B20609">
        <w:rPr>
          <w:rFonts w:ascii="Verdana" w:hAnsi="Verdana" w:eastAsia="Verdana" w:cs="Verdana"/>
          <w:sz w:val="18"/>
          <w:szCs w:val="18"/>
        </w:rPr>
        <w:t xml:space="preserve"> </w:t>
      </w:r>
      <w:r>
        <w:rPr>
          <w:rFonts w:ascii="Verdana" w:hAnsi="Verdana" w:eastAsia="Verdana" w:cs="Verdana"/>
          <w:sz w:val="18"/>
          <w:szCs w:val="18"/>
        </w:rPr>
        <w:t>Nederland</w:t>
      </w:r>
      <w:r w:rsidR="00B20609">
        <w:rPr>
          <w:rFonts w:ascii="Verdana" w:hAnsi="Verdana" w:eastAsia="Verdana" w:cs="Verdana"/>
          <w:sz w:val="18"/>
          <w:szCs w:val="18"/>
        </w:rPr>
        <w:t xml:space="preserve"> heeft reeds stappen gezet om de aanbevelingen te adresseren. </w:t>
      </w:r>
    </w:p>
    <w:p w:rsidR="00B20609" w:rsidP="00B20609" w:rsidRDefault="00B20609" w14:paraId="6F0296D3" w14:textId="77777777">
      <w:pPr>
        <w:rPr>
          <w:rFonts w:ascii="Verdana" w:hAnsi="Verdana" w:eastAsia="Verdana" w:cs="Verdana"/>
          <w:sz w:val="18"/>
          <w:szCs w:val="18"/>
        </w:rPr>
      </w:pPr>
      <w:r w:rsidRPr="5981DEC0">
        <w:rPr>
          <w:rFonts w:ascii="Verdana" w:hAnsi="Verdana" w:eastAsia="Verdana" w:cs="Verdana"/>
          <w:sz w:val="18"/>
          <w:szCs w:val="18"/>
        </w:rPr>
        <w:t>Bij het schrijven van deze geannoteerde agenda moet de</w:t>
      </w:r>
      <w:r>
        <w:rPr>
          <w:rFonts w:ascii="Verdana" w:hAnsi="Verdana" w:eastAsia="Verdana" w:cs="Verdana"/>
          <w:sz w:val="18"/>
          <w:szCs w:val="18"/>
        </w:rPr>
        <w:t xml:space="preserve"> horizontale notitie ten behoeve van de bespreking in de Europese Raad</w:t>
      </w:r>
      <w:r w:rsidRPr="5981DEC0">
        <w:rPr>
          <w:rFonts w:ascii="Verdana" w:hAnsi="Verdana" w:eastAsia="Verdana" w:cs="Verdana"/>
          <w:sz w:val="18"/>
          <w:szCs w:val="18"/>
        </w:rPr>
        <w:t xml:space="preserve"> nog worden voorbereid in de comités van de Raad. Het kabinet verwacht dat</w:t>
      </w:r>
      <w:r>
        <w:rPr>
          <w:rFonts w:ascii="Verdana" w:hAnsi="Verdana" w:eastAsia="Verdana" w:cs="Verdana"/>
          <w:sz w:val="18"/>
          <w:szCs w:val="18"/>
        </w:rPr>
        <w:t xml:space="preserve"> deze notitie een feitelijke en nuttige weergave van de voorstellen zal bevatten en verwacht dat</w:t>
      </w:r>
      <w:r w:rsidRPr="5981DEC0">
        <w:rPr>
          <w:rFonts w:ascii="Verdana" w:hAnsi="Verdana" w:eastAsia="Verdana" w:cs="Verdana"/>
          <w:sz w:val="18"/>
          <w:szCs w:val="18"/>
        </w:rPr>
        <w:t xml:space="preserve"> Nederland zal kunnen instemmen met de </w:t>
      </w:r>
      <w:r>
        <w:rPr>
          <w:rFonts w:ascii="Verdana" w:hAnsi="Verdana" w:eastAsia="Verdana" w:cs="Verdana"/>
          <w:sz w:val="18"/>
          <w:szCs w:val="18"/>
        </w:rPr>
        <w:t>goedkeuring</w:t>
      </w:r>
      <w:r w:rsidRPr="5981DEC0">
        <w:rPr>
          <w:rFonts w:ascii="Verdana" w:hAnsi="Verdana" w:eastAsia="Verdana" w:cs="Verdana"/>
          <w:sz w:val="18"/>
          <w:szCs w:val="18"/>
        </w:rPr>
        <w:t xml:space="preserve"> van de </w:t>
      </w:r>
      <w:r>
        <w:rPr>
          <w:rFonts w:ascii="Verdana" w:hAnsi="Verdana" w:eastAsia="Verdana" w:cs="Verdana"/>
          <w:sz w:val="18"/>
          <w:szCs w:val="18"/>
        </w:rPr>
        <w:t xml:space="preserve">horizontale notitie </w:t>
      </w:r>
      <w:r w:rsidRPr="5981DEC0">
        <w:rPr>
          <w:rFonts w:ascii="Verdana" w:hAnsi="Verdana" w:eastAsia="Verdana" w:cs="Verdana"/>
          <w:sz w:val="18"/>
          <w:szCs w:val="18"/>
        </w:rPr>
        <w:t xml:space="preserve">tijdens de Ecofinraad van juni. </w:t>
      </w:r>
    </w:p>
    <w:p w:rsidR="00B20609" w:rsidP="00B20609" w:rsidRDefault="00B20609" w14:paraId="516101F4" w14:textId="77777777">
      <w:pPr>
        <w:rPr>
          <w:sz w:val="16"/>
          <w:szCs w:val="16"/>
        </w:rPr>
      </w:pPr>
      <w:r>
        <w:rPr>
          <w:rFonts w:ascii="Verdana" w:hAnsi="Verdana" w:eastAsia="Verdana" w:cs="Verdana"/>
          <w:sz w:val="18"/>
          <w:szCs w:val="18"/>
        </w:rPr>
        <w:t>Na de bespreking in de Europese Raad van 26 en 27 juni zullen de landspecifieke aanbevelingen in juli ter besluitvorming in de Raad van de Europese Unie voorliggen.</w:t>
      </w:r>
      <w:r w:rsidRPr="5981DEC0">
        <w:rPr>
          <w:rFonts w:ascii="Verdana" w:hAnsi="Verdana" w:eastAsia="Verdana" w:cs="Verdana"/>
          <w:sz w:val="18"/>
          <w:szCs w:val="18"/>
        </w:rPr>
        <w:t xml:space="preserve"> </w:t>
      </w:r>
    </w:p>
    <w:p w:rsidRPr="00CB28D9" w:rsidR="00B20609" w:rsidP="00B20609" w:rsidRDefault="00B20609" w14:paraId="381A6B16" w14:textId="7FC94390">
      <w:pPr>
        <w:rPr>
          <w:rFonts w:ascii="Verdana" w:hAnsi="Verdana" w:eastAsia="Verdana" w:cs="Verdana"/>
          <w:sz w:val="18"/>
          <w:szCs w:val="18"/>
        </w:rPr>
      </w:pPr>
    </w:p>
    <w:p w:rsidRPr="008D06E2" w:rsidR="003F1F87" w:rsidP="003F1F87" w:rsidRDefault="003F1F87" w14:paraId="5CF0F736" w14:textId="4CB58516">
      <w:pPr>
        <w:spacing w:after="0" w:line="240" w:lineRule="auto"/>
        <w:rPr>
          <w:rFonts w:ascii="Verdana" w:hAnsi="Verdana" w:eastAsia="Verdana" w:cs="Verdana"/>
          <w:b/>
          <w:bCs/>
          <w:sz w:val="18"/>
          <w:szCs w:val="18"/>
        </w:rPr>
      </w:pPr>
      <w:r w:rsidRPr="008D06E2">
        <w:rPr>
          <w:rFonts w:ascii="Verdana" w:hAnsi="Verdana" w:eastAsia="Verdana" w:cs="Verdana"/>
          <w:b/>
          <w:bCs/>
          <w:sz w:val="18"/>
          <w:szCs w:val="18"/>
        </w:rPr>
        <w:t xml:space="preserve">Implementatie Stabiliteits-en Groeipact - jaarlijkse voortgangsrapportage </w:t>
      </w:r>
    </w:p>
    <w:p w:rsidRPr="008D06E2" w:rsidR="003F1F87" w:rsidP="003F1F87" w:rsidRDefault="003F1F87" w14:paraId="2348A976" w14:textId="77777777">
      <w:pPr>
        <w:spacing w:after="0" w:line="240" w:lineRule="auto"/>
        <w:rPr>
          <w:rFonts w:ascii="Verdana" w:hAnsi="Verdana" w:eastAsia="Verdana" w:cs="Verdana"/>
          <w:sz w:val="18"/>
          <w:szCs w:val="18"/>
        </w:rPr>
      </w:pPr>
      <w:r w:rsidRPr="008D06E2">
        <w:rPr>
          <w:rFonts w:ascii="Verdana" w:hAnsi="Verdana" w:eastAsia="Verdana" w:cs="Verdana"/>
          <w:b/>
          <w:bCs/>
          <w:sz w:val="18"/>
          <w:szCs w:val="18"/>
        </w:rPr>
        <w:t xml:space="preserve">Aard bespreking: </w:t>
      </w:r>
      <w:r w:rsidRPr="008D06E2">
        <w:rPr>
          <w:rFonts w:ascii="Verdana" w:hAnsi="Verdana" w:eastAsia="Verdana" w:cs="Verdana"/>
          <w:sz w:val="18"/>
          <w:szCs w:val="18"/>
        </w:rPr>
        <w:t>gedachtewisseling</w:t>
      </w:r>
      <w:r w:rsidRPr="008D06E2">
        <w:rPr>
          <w:rFonts w:ascii="Verdana" w:hAnsi="Verdana"/>
          <w:sz w:val="18"/>
          <w:szCs w:val="18"/>
        </w:rPr>
        <w:br/>
      </w:r>
      <w:r w:rsidRPr="008D06E2">
        <w:rPr>
          <w:rFonts w:ascii="Verdana" w:hAnsi="Verdana" w:eastAsia="Verdana" w:cs="Verdana"/>
          <w:b/>
          <w:bCs/>
          <w:sz w:val="18"/>
          <w:szCs w:val="18"/>
        </w:rPr>
        <w:t xml:space="preserve">Besluitvormingsprocedure: </w:t>
      </w:r>
      <w:r w:rsidRPr="008D06E2">
        <w:rPr>
          <w:rFonts w:ascii="Verdana" w:hAnsi="Verdana" w:eastAsia="Verdana" w:cs="Verdana"/>
          <w:sz w:val="18"/>
          <w:szCs w:val="18"/>
        </w:rPr>
        <w:t xml:space="preserve">n.v.t. </w:t>
      </w:r>
    </w:p>
    <w:p w:rsidRPr="008D06E2" w:rsidR="003F1F87" w:rsidP="003F1F87" w:rsidRDefault="003F1F87" w14:paraId="3599DB5A" w14:textId="77777777">
      <w:pPr>
        <w:spacing w:line="240" w:lineRule="auto"/>
        <w:rPr>
          <w:rFonts w:ascii="Verdana" w:hAnsi="Verdana"/>
          <w:sz w:val="18"/>
          <w:szCs w:val="18"/>
        </w:rPr>
      </w:pPr>
      <w:r w:rsidRPr="008D06E2">
        <w:rPr>
          <w:rFonts w:ascii="Verdana" w:hAnsi="Verdana" w:eastAsia="Verdana" w:cs="Verdana"/>
          <w:b/>
          <w:bCs/>
          <w:sz w:val="18"/>
          <w:szCs w:val="18"/>
        </w:rPr>
        <w:t>Toelichting:</w:t>
      </w:r>
    </w:p>
    <w:p w:rsidRPr="008D06E2" w:rsidR="003F1F87" w:rsidP="00DF63A4" w:rsidRDefault="003F1F87" w14:paraId="6A80CA1C" w14:textId="77777777">
      <w:pPr>
        <w:spacing w:line="240" w:lineRule="atLeast"/>
        <w:rPr>
          <w:rFonts w:ascii="Verdana" w:hAnsi="Verdana" w:eastAsia="Calibri" w:cs="Calibri"/>
          <w:sz w:val="18"/>
          <w:szCs w:val="18"/>
        </w:rPr>
      </w:pPr>
      <w:r w:rsidRPr="008D06E2">
        <w:rPr>
          <w:rFonts w:ascii="Verdana" w:hAnsi="Verdana" w:eastAsia="Calibri" w:cs="Calibri"/>
          <w:sz w:val="18"/>
          <w:szCs w:val="18"/>
        </w:rPr>
        <w:t xml:space="preserve">In het kader van het </w:t>
      </w:r>
      <w:r>
        <w:rPr>
          <w:rFonts w:ascii="Verdana" w:hAnsi="Verdana" w:eastAsia="Calibri" w:cs="Calibri"/>
          <w:sz w:val="18"/>
          <w:szCs w:val="18"/>
        </w:rPr>
        <w:t xml:space="preserve">herziene </w:t>
      </w:r>
      <w:r w:rsidRPr="008D06E2">
        <w:rPr>
          <w:rFonts w:ascii="Verdana" w:hAnsi="Verdana" w:eastAsia="Calibri" w:cs="Calibri"/>
          <w:sz w:val="18"/>
          <w:szCs w:val="18"/>
        </w:rPr>
        <w:t xml:space="preserve">Stabiliteits- en Groeipact hebben lidstaten budgettair-structurele plannen (hierna: plannen) voor de middellange termijn opgesteld. </w:t>
      </w:r>
      <w:r>
        <w:rPr>
          <w:rFonts w:ascii="Verdana" w:hAnsi="Verdana" w:eastAsia="Calibri" w:cs="Calibri"/>
          <w:sz w:val="18"/>
          <w:szCs w:val="18"/>
        </w:rPr>
        <w:t>Deze</w:t>
      </w:r>
      <w:r w:rsidRPr="008D06E2">
        <w:rPr>
          <w:rFonts w:ascii="Verdana" w:hAnsi="Verdana" w:eastAsia="Calibri" w:cs="Calibri"/>
          <w:sz w:val="18"/>
          <w:szCs w:val="18"/>
        </w:rPr>
        <w:t xml:space="preserve"> plan</w:t>
      </w:r>
      <w:r>
        <w:rPr>
          <w:rFonts w:ascii="Verdana" w:hAnsi="Verdana" w:eastAsia="Calibri" w:cs="Calibri"/>
          <w:sz w:val="18"/>
          <w:szCs w:val="18"/>
        </w:rPr>
        <w:t>nen</w:t>
      </w:r>
      <w:r w:rsidRPr="008D06E2">
        <w:rPr>
          <w:rFonts w:ascii="Verdana" w:hAnsi="Verdana" w:eastAsia="Calibri" w:cs="Calibri"/>
          <w:sz w:val="18"/>
          <w:szCs w:val="18"/>
        </w:rPr>
        <w:t xml:space="preserve"> bevat</w:t>
      </w:r>
      <w:r>
        <w:rPr>
          <w:rFonts w:ascii="Verdana" w:hAnsi="Verdana" w:eastAsia="Calibri" w:cs="Calibri"/>
          <w:sz w:val="18"/>
          <w:szCs w:val="18"/>
        </w:rPr>
        <w:t>ten</w:t>
      </w:r>
      <w:r w:rsidRPr="008D06E2">
        <w:rPr>
          <w:rFonts w:ascii="Verdana" w:hAnsi="Verdana" w:eastAsia="Calibri" w:cs="Calibri"/>
          <w:sz w:val="18"/>
          <w:szCs w:val="18"/>
        </w:rPr>
        <w:t xml:space="preserve"> een</w:t>
      </w:r>
      <w:r>
        <w:rPr>
          <w:rFonts w:ascii="Verdana" w:hAnsi="Verdana" w:eastAsia="Calibri" w:cs="Calibri"/>
          <w:sz w:val="18"/>
          <w:szCs w:val="18"/>
        </w:rPr>
        <w:t xml:space="preserve"> pad voor de maximale groei van de uitgaven gedurende een aanpassingsperiode van</w:t>
      </w:r>
      <w:r w:rsidRPr="008D06E2">
        <w:rPr>
          <w:rFonts w:ascii="Verdana" w:hAnsi="Verdana" w:eastAsia="Calibri" w:cs="Calibri"/>
          <w:sz w:val="18"/>
          <w:szCs w:val="18"/>
        </w:rPr>
        <w:t xml:space="preserve"> vier of zeven jaar</w:t>
      </w:r>
      <w:r>
        <w:rPr>
          <w:rFonts w:ascii="Verdana" w:hAnsi="Verdana" w:eastAsia="Calibri" w:cs="Calibri"/>
          <w:sz w:val="18"/>
          <w:szCs w:val="18"/>
        </w:rPr>
        <w:t xml:space="preserve"> (uitgavenpad)</w:t>
      </w:r>
      <w:r w:rsidRPr="008D06E2">
        <w:rPr>
          <w:rFonts w:ascii="Verdana" w:hAnsi="Verdana" w:eastAsia="Calibri" w:cs="Calibri"/>
          <w:sz w:val="18"/>
          <w:szCs w:val="18"/>
        </w:rPr>
        <w:t xml:space="preserve">, </w:t>
      </w:r>
      <w:r>
        <w:rPr>
          <w:rFonts w:ascii="Verdana" w:hAnsi="Verdana" w:eastAsia="Calibri" w:cs="Calibri"/>
          <w:sz w:val="18"/>
          <w:szCs w:val="18"/>
        </w:rPr>
        <w:t xml:space="preserve">en daarnaast voorgenomen </w:t>
      </w:r>
      <w:r w:rsidRPr="008D06E2">
        <w:rPr>
          <w:rFonts w:ascii="Verdana" w:hAnsi="Verdana" w:eastAsia="Calibri" w:cs="Calibri"/>
          <w:sz w:val="18"/>
          <w:szCs w:val="18"/>
        </w:rPr>
        <w:t xml:space="preserve">structurele hervormingen en investeringen. De Raad heeft in januari 2025 aanbevelingen </w:t>
      </w:r>
      <w:r>
        <w:rPr>
          <w:rFonts w:ascii="Verdana" w:hAnsi="Verdana" w:eastAsia="Calibri" w:cs="Calibri"/>
          <w:sz w:val="18"/>
          <w:szCs w:val="18"/>
        </w:rPr>
        <w:t>aangenomen</w:t>
      </w:r>
      <w:r w:rsidRPr="008D06E2">
        <w:rPr>
          <w:rFonts w:ascii="Verdana" w:hAnsi="Verdana" w:eastAsia="Calibri" w:cs="Calibri"/>
          <w:sz w:val="18"/>
          <w:szCs w:val="18"/>
        </w:rPr>
        <w:t xml:space="preserve"> voor het vaststellen van </w:t>
      </w:r>
      <w:r>
        <w:rPr>
          <w:rFonts w:ascii="Verdana" w:hAnsi="Verdana" w:eastAsia="Calibri" w:cs="Calibri"/>
          <w:sz w:val="18"/>
          <w:szCs w:val="18"/>
        </w:rPr>
        <w:t xml:space="preserve">i) </w:t>
      </w:r>
      <w:r w:rsidRPr="008D06E2">
        <w:rPr>
          <w:rFonts w:ascii="Verdana" w:hAnsi="Verdana" w:eastAsia="Calibri" w:cs="Calibri"/>
          <w:sz w:val="18"/>
          <w:szCs w:val="18"/>
        </w:rPr>
        <w:t>het uitgavenpad van 21 lidstaten</w:t>
      </w:r>
      <w:r>
        <w:rPr>
          <w:rStyle w:val="Voetnootmarkering"/>
          <w:rFonts w:ascii="Verdana" w:hAnsi="Verdana" w:eastAsia="Calibri" w:cs="Calibri"/>
          <w:sz w:val="18"/>
          <w:szCs w:val="18"/>
        </w:rPr>
        <w:footnoteReference w:id="10"/>
      </w:r>
      <w:r w:rsidRPr="008D06E2">
        <w:rPr>
          <w:rFonts w:ascii="Verdana" w:hAnsi="Verdana" w:eastAsia="Calibri" w:cs="Calibri"/>
          <w:sz w:val="18"/>
          <w:szCs w:val="18"/>
        </w:rPr>
        <w:t xml:space="preserve">, ii) het goedkeuren van hervormingen en investeringen die ten grondslag liggen aan een verlenging van de budgettaire aanpassingsperiode voor vijf lidstaten. </w:t>
      </w:r>
    </w:p>
    <w:p w:rsidRPr="008D06E2" w:rsidR="003F1F87" w:rsidP="00DF63A4" w:rsidRDefault="003F1F87" w14:paraId="69D679C6" w14:textId="6050C239">
      <w:pPr>
        <w:spacing w:line="240" w:lineRule="atLeast"/>
        <w:rPr>
          <w:rFonts w:ascii="Verdana" w:hAnsi="Verdana" w:eastAsia="Calibri" w:cs="Calibri"/>
          <w:sz w:val="18"/>
          <w:szCs w:val="18"/>
        </w:rPr>
      </w:pPr>
      <w:r w:rsidRPr="008D06E2">
        <w:rPr>
          <w:rFonts w:ascii="Verdana" w:hAnsi="Verdana" w:eastAsia="Calibri" w:cs="Calibri"/>
          <w:sz w:val="18"/>
          <w:szCs w:val="18"/>
        </w:rPr>
        <w:t xml:space="preserve">De naleving van het uitgavenpad en de implementatie van hervormingen en investeringen worden jaarlijks gemonitord. Daartoe dienen alle lidstaten jaarlijks uiterlijk op 30 april een voortgangsrapport in. Omdat de </w:t>
      </w:r>
      <w:r>
        <w:rPr>
          <w:rFonts w:ascii="Verdana" w:hAnsi="Verdana" w:eastAsia="Calibri" w:cs="Calibri"/>
          <w:sz w:val="18"/>
          <w:szCs w:val="18"/>
        </w:rPr>
        <w:t xml:space="preserve">door de Raad aanbevolen </w:t>
      </w:r>
      <w:r w:rsidRPr="008D06E2">
        <w:rPr>
          <w:rFonts w:ascii="Verdana" w:hAnsi="Verdana" w:eastAsia="Calibri" w:cs="Calibri"/>
          <w:sz w:val="18"/>
          <w:szCs w:val="18"/>
        </w:rPr>
        <w:t xml:space="preserve">uitgavenpaden </w:t>
      </w:r>
      <w:r>
        <w:rPr>
          <w:rFonts w:ascii="Verdana" w:hAnsi="Verdana" w:eastAsia="Calibri" w:cs="Calibri"/>
          <w:sz w:val="18"/>
          <w:szCs w:val="18"/>
        </w:rPr>
        <w:t xml:space="preserve">pas </w:t>
      </w:r>
      <w:r w:rsidRPr="008D06E2">
        <w:rPr>
          <w:rFonts w:ascii="Verdana" w:hAnsi="Verdana" w:eastAsia="Calibri" w:cs="Calibri"/>
          <w:sz w:val="18"/>
          <w:szCs w:val="18"/>
        </w:rPr>
        <w:t xml:space="preserve">sinds januari 2025 </w:t>
      </w:r>
      <w:r>
        <w:rPr>
          <w:rFonts w:ascii="Verdana" w:hAnsi="Verdana" w:eastAsia="Calibri" w:cs="Calibri"/>
          <w:sz w:val="18"/>
          <w:szCs w:val="18"/>
        </w:rPr>
        <w:t>vastgesteld</w:t>
      </w:r>
      <w:r w:rsidRPr="008D06E2">
        <w:rPr>
          <w:rFonts w:ascii="Verdana" w:hAnsi="Verdana" w:eastAsia="Calibri" w:cs="Calibri"/>
          <w:sz w:val="18"/>
          <w:szCs w:val="18"/>
        </w:rPr>
        <w:t xml:space="preserve"> zijn</w:t>
      </w:r>
      <w:r>
        <w:rPr>
          <w:rFonts w:ascii="Verdana" w:hAnsi="Verdana" w:eastAsia="Calibri" w:cs="Calibri"/>
          <w:sz w:val="18"/>
          <w:szCs w:val="18"/>
        </w:rPr>
        <w:t xml:space="preserve">, is 2025 een transitiejaar. </w:t>
      </w:r>
      <w:r w:rsidRPr="00106016">
        <w:rPr>
          <w:rFonts w:ascii="Verdana" w:hAnsi="Verdana" w:eastAsia="Calibri" w:cs="Calibri"/>
          <w:sz w:val="18"/>
          <w:szCs w:val="18"/>
        </w:rPr>
        <w:t xml:space="preserve">De Commissie heeft beoordeeld of de uitgavengroei in </w:t>
      </w:r>
      <w:r w:rsidRPr="00106016">
        <w:rPr>
          <w:rFonts w:ascii="Verdana" w:hAnsi="Verdana" w:eastAsia="Calibri" w:cs="Calibri"/>
          <w:sz w:val="18"/>
          <w:szCs w:val="18"/>
        </w:rPr>
        <w:lastRenderedPageBreak/>
        <w:t>2024 in lijn was met de landspecifieke aanbeveling voor het begrotingsbeleid in 2024.</w:t>
      </w:r>
      <w:r>
        <w:rPr>
          <w:rFonts w:ascii="Verdana" w:hAnsi="Verdana" w:eastAsia="Calibri" w:cs="Calibri"/>
          <w:sz w:val="18"/>
          <w:szCs w:val="18"/>
        </w:rPr>
        <w:t xml:space="preserve"> </w:t>
      </w:r>
      <w:r w:rsidRPr="008D06E2">
        <w:rPr>
          <w:rFonts w:ascii="Verdana" w:hAnsi="Verdana" w:eastAsia="Calibri" w:cs="Calibri"/>
          <w:sz w:val="18"/>
          <w:szCs w:val="18"/>
        </w:rPr>
        <w:t>D</w:t>
      </w:r>
      <w:r w:rsidR="006C7493">
        <w:rPr>
          <w:rFonts w:ascii="Verdana" w:hAnsi="Verdana" w:eastAsia="Calibri" w:cs="Calibri"/>
          <w:sz w:val="18"/>
          <w:szCs w:val="18"/>
        </w:rPr>
        <w:t>aarnaast heeft d</w:t>
      </w:r>
      <w:r w:rsidRPr="008D06E2">
        <w:rPr>
          <w:rFonts w:ascii="Verdana" w:hAnsi="Verdana" w:eastAsia="Calibri" w:cs="Calibri"/>
          <w:sz w:val="18"/>
          <w:szCs w:val="18"/>
        </w:rPr>
        <w:t>e Commissie beoordeel</w:t>
      </w:r>
      <w:r w:rsidR="006C7493">
        <w:rPr>
          <w:rFonts w:ascii="Verdana" w:hAnsi="Verdana" w:eastAsia="Calibri" w:cs="Calibri"/>
          <w:sz w:val="18"/>
          <w:szCs w:val="18"/>
        </w:rPr>
        <w:t>d</w:t>
      </w:r>
      <w:r w:rsidRPr="008D06E2">
        <w:rPr>
          <w:rFonts w:ascii="Verdana" w:hAnsi="Verdana" w:eastAsia="Calibri" w:cs="Calibri"/>
          <w:sz w:val="18"/>
          <w:szCs w:val="18"/>
        </w:rPr>
        <w:t xml:space="preserve"> of de uitgavengroei</w:t>
      </w:r>
      <w:r>
        <w:rPr>
          <w:rFonts w:ascii="Verdana" w:hAnsi="Verdana" w:eastAsia="Calibri" w:cs="Calibri"/>
          <w:sz w:val="18"/>
          <w:szCs w:val="18"/>
        </w:rPr>
        <w:t xml:space="preserve"> voor </w:t>
      </w:r>
      <w:r w:rsidR="006C7493">
        <w:rPr>
          <w:rFonts w:ascii="Verdana" w:hAnsi="Verdana" w:eastAsia="Calibri" w:cs="Calibri"/>
          <w:sz w:val="18"/>
          <w:szCs w:val="18"/>
        </w:rPr>
        <w:t>2025</w:t>
      </w:r>
      <w:r w:rsidRPr="008D06E2">
        <w:rPr>
          <w:rFonts w:ascii="Verdana" w:hAnsi="Verdana" w:eastAsia="Calibri" w:cs="Calibri"/>
          <w:sz w:val="18"/>
          <w:szCs w:val="18"/>
        </w:rPr>
        <w:t xml:space="preserve"> </w:t>
      </w:r>
      <w:r>
        <w:rPr>
          <w:rFonts w:ascii="Verdana" w:hAnsi="Verdana" w:eastAsia="Calibri" w:cs="Calibri"/>
          <w:sz w:val="18"/>
          <w:szCs w:val="18"/>
        </w:rPr>
        <w:t xml:space="preserve">naar verwachting </w:t>
      </w:r>
      <w:r w:rsidRPr="008D06E2">
        <w:rPr>
          <w:rFonts w:ascii="Verdana" w:hAnsi="Verdana" w:eastAsia="Calibri" w:cs="Calibri"/>
          <w:sz w:val="18"/>
          <w:szCs w:val="18"/>
        </w:rPr>
        <w:t xml:space="preserve">in lijn </w:t>
      </w:r>
      <w:r>
        <w:rPr>
          <w:rFonts w:ascii="Verdana" w:hAnsi="Verdana" w:eastAsia="Calibri" w:cs="Calibri"/>
          <w:sz w:val="18"/>
          <w:szCs w:val="18"/>
        </w:rPr>
        <w:t>zal zijn</w:t>
      </w:r>
      <w:r w:rsidRPr="008D06E2">
        <w:rPr>
          <w:rFonts w:ascii="Verdana" w:hAnsi="Verdana" w:eastAsia="Calibri" w:cs="Calibri"/>
          <w:sz w:val="18"/>
          <w:szCs w:val="18"/>
        </w:rPr>
        <w:t xml:space="preserve"> met het aanbevolen uitgavenpad voor 2025. </w:t>
      </w:r>
      <w:r>
        <w:rPr>
          <w:rFonts w:ascii="Verdana" w:hAnsi="Verdana" w:eastAsia="Calibri" w:cs="Calibri"/>
          <w:sz w:val="18"/>
          <w:szCs w:val="18"/>
        </w:rPr>
        <w:t>Maar omdat de verwachtingen voor 2025 gebaseerd zijn op een klein deel van het jaar zal dit voorjaar nog geen sprake zijn van een beoordeling van buitensporige tekorten op basis van een (verwachte) overschrijding van het aanbevolen uitgavenpad. V</w:t>
      </w:r>
      <w:r w:rsidRPr="008D06E2">
        <w:rPr>
          <w:rFonts w:ascii="Verdana" w:hAnsi="Verdana" w:eastAsia="Calibri" w:cs="Calibri"/>
          <w:sz w:val="18"/>
          <w:szCs w:val="18"/>
        </w:rPr>
        <w:t xml:space="preserve">anaf het voorjaar van 2026 </w:t>
      </w:r>
      <w:r>
        <w:rPr>
          <w:rFonts w:ascii="Verdana" w:hAnsi="Verdana" w:eastAsia="Calibri" w:cs="Calibri"/>
          <w:sz w:val="18"/>
          <w:szCs w:val="18"/>
        </w:rPr>
        <w:t xml:space="preserve">zal deze beoordeling wel worden gedaan en kan </w:t>
      </w:r>
      <w:r w:rsidRPr="008D06E2">
        <w:rPr>
          <w:rFonts w:ascii="Verdana" w:hAnsi="Verdana" w:eastAsia="Calibri" w:cs="Calibri"/>
          <w:sz w:val="18"/>
          <w:szCs w:val="18"/>
        </w:rPr>
        <w:t>de Raad</w:t>
      </w:r>
      <w:r>
        <w:rPr>
          <w:rFonts w:ascii="Verdana" w:hAnsi="Verdana" w:eastAsia="Calibri" w:cs="Calibri"/>
          <w:sz w:val="18"/>
          <w:szCs w:val="18"/>
        </w:rPr>
        <w:t>,</w:t>
      </w:r>
      <w:r w:rsidRPr="008D06E2">
        <w:rPr>
          <w:rFonts w:ascii="Verdana" w:hAnsi="Verdana" w:eastAsia="Calibri" w:cs="Calibri"/>
          <w:sz w:val="18"/>
          <w:szCs w:val="18"/>
        </w:rPr>
        <w:t xml:space="preserve"> op aanbeveling van de Commissie</w:t>
      </w:r>
      <w:r>
        <w:rPr>
          <w:rFonts w:ascii="Verdana" w:hAnsi="Verdana" w:eastAsia="Calibri" w:cs="Calibri"/>
          <w:sz w:val="18"/>
          <w:szCs w:val="18"/>
        </w:rPr>
        <w:t>,</w:t>
      </w:r>
      <w:r w:rsidRPr="008D06E2">
        <w:rPr>
          <w:rFonts w:ascii="Verdana" w:hAnsi="Verdana" w:eastAsia="Calibri" w:cs="Calibri"/>
          <w:sz w:val="18"/>
          <w:szCs w:val="18"/>
        </w:rPr>
        <w:t xml:space="preserve"> voor het eerst </w:t>
      </w:r>
      <w:r>
        <w:rPr>
          <w:rFonts w:ascii="Verdana" w:hAnsi="Verdana" w:eastAsia="Calibri" w:cs="Calibri"/>
          <w:sz w:val="18"/>
          <w:szCs w:val="18"/>
        </w:rPr>
        <w:t>buitensporige tekorten vaststellen op basis van</w:t>
      </w:r>
      <w:r w:rsidRPr="008D06E2">
        <w:rPr>
          <w:rFonts w:ascii="Verdana" w:hAnsi="Verdana" w:eastAsia="Calibri" w:cs="Calibri"/>
          <w:sz w:val="18"/>
          <w:szCs w:val="18"/>
        </w:rPr>
        <w:t xml:space="preserve"> afwijkingen van het uitgavenpad </w:t>
      </w:r>
      <w:r>
        <w:rPr>
          <w:rFonts w:ascii="Verdana" w:hAnsi="Verdana" w:eastAsia="Calibri" w:cs="Calibri"/>
          <w:sz w:val="18"/>
          <w:szCs w:val="18"/>
        </w:rPr>
        <w:t xml:space="preserve">die </w:t>
      </w:r>
      <w:r w:rsidRPr="008D06E2">
        <w:rPr>
          <w:rFonts w:ascii="Verdana" w:hAnsi="Verdana" w:eastAsia="Calibri" w:cs="Calibri"/>
          <w:sz w:val="18"/>
          <w:szCs w:val="18"/>
        </w:rPr>
        <w:t>de drempelwaarden overschrijden</w:t>
      </w:r>
      <w:r w:rsidRPr="008D06E2">
        <w:rPr>
          <w:rStyle w:val="Voetnootmarkering"/>
          <w:rFonts w:ascii="Verdana" w:hAnsi="Verdana" w:eastAsia="Calibri" w:cs="Calibri"/>
          <w:sz w:val="18"/>
          <w:szCs w:val="18"/>
        </w:rPr>
        <w:footnoteReference w:id="11"/>
      </w:r>
      <w:r w:rsidRPr="008D06E2">
        <w:rPr>
          <w:rFonts w:ascii="Verdana" w:hAnsi="Verdana" w:eastAsia="Calibri" w:cs="Calibri"/>
          <w:sz w:val="18"/>
          <w:szCs w:val="18"/>
        </w:rPr>
        <w:t xml:space="preserve">. </w:t>
      </w:r>
      <w:r>
        <w:rPr>
          <w:rFonts w:ascii="Verdana" w:hAnsi="Verdana" w:eastAsia="Calibri" w:cs="Calibri"/>
          <w:sz w:val="18"/>
          <w:szCs w:val="18"/>
        </w:rPr>
        <w:t xml:space="preserve">Omdat de plannen nog maar net gestart zijn, is het nog te vroeg om iets zeggen over de voortgang van de hervormingen en investeringen. </w:t>
      </w:r>
    </w:p>
    <w:p w:rsidR="003F1F87" w:rsidP="00DF63A4" w:rsidRDefault="006C7493" w14:paraId="640A8675" w14:textId="01B771FD">
      <w:pPr>
        <w:spacing w:line="240" w:lineRule="atLeast"/>
        <w:rPr>
          <w:rFonts w:ascii="Verdana" w:hAnsi="Verdana" w:eastAsia="Calibri" w:cs="Calibri"/>
          <w:sz w:val="18"/>
          <w:szCs w:val="18"/>
        </w:rPr>
      </w:pPr>
      <w:r>
        <w:rPr>
          <w:rFonts w:ascii="Verdana" w:hAnsi="Verdana" w:eastAsia="Calibri" w:cs="Calibri"/>
          <w:sz w:val="18"/>
          <w:szCs w:val="18"/>
        </w:rPr>
        <w:t>Annex II</w:t>
      </w:r>
      <w:r w:rsidRPr="008D06E2" w:rsidR="003F1F87">
        <w:rPr>
          <w:rFonts w:ascii="Verdana" w:hAnsi="Verdana" w:eastAsia="Calibri" w:cs="Calibri"/>
          <w:sz w:val="18"/>
          <w:szCs w:val="18"/>
        </w:rPr>
        <w:t xml:space="preserve"> schetst</w:t>
      </w:r>
      <w:r w:rsidR="003F1F87">
        <w:rPr>
          <w:rFonts w:ascii="Verdana" w:hAnsi="Verdana" w:eastAsia="Calibri" w:cs="Calibri"/>
          <w:sz w:val="18"/>
          <w:szCs w:val="18"/>
        </w:rPr>
        <w:t xml:space="preserve"> voor 2024 en 2025</w:t>
      </w:r>
      <w:r w:rsidRPr="008D06E2" w:rsidR="003F1F87">
        <w:rPr>
          <w:rFonts w:ascii="Verdana" w:hAnsi="Verdana" w:eastAsia="Calibri" w:cs="Calibri"/>
          <w:sz w:val="18"/>
          <w:szCs w:val="18"/>
        </w:rPr>
        <w:t xml:space="preserve"> een overzicht van 1. </w:t>
      </w:r>
      <w:proofErr w:type="gramStart"/>
      <w:r w:rsidRPr="008D06E2" w:rsidR="003F1F87">
        <w:rPr>
          <w:rFonts w:ascii="Verdana" w:hAnsi="Verdana" w:eastAsia="Calibri" w:cs="Calibri"/>
          <w:sz w:val="18"/>
          <w:szCs w:val="18"/>
        </w:rPr>
        <w:t>de</w:t>
      </w:r>
      <w:proofErr w:type="gramEnd"/>
      <w:r w:rsidRPr="008D06E2" w:rsidR="003F1F87">
        <w:rPr>
          <w:rFonts w:ascii="Verdana" w:hAnsi="Verdana" w:eastAsia="Calibri" w:cs="Calibri"/>
          <w:sz w:val="18"/>
          <w:szCs w:val="18"/>
        </w:rPr>
        <w:t xml:space="preserve"> door de Raad aanbevolen uitgavengroei, 2. de uitgavengroei zoals door lidstaten gerapporteerd in het voortgangsrapport en 3. de uitgavengroei uit de lenteraming</w:t>
      </w:r>
      <w:r w:rsidR="003F1F87">
        <w:rPr>
          <w:rFonts w:ascii="Verdana" w:hAnsi="Verdana" w:eastAsia="Calibri" w:cs="Calibri"/>
          <w:sz w:val="18"/>
          <w:szCs w:val="18"/>
        </w:rPr>
        <w:t xml:space="preserve"> van de Europese Commissie</w:t>
      </w:r>
      <w:r w:rsidRPr="008D06E2" w:rsidR="003F1F87">
        <w:rPr>
          <w:rFonts w:ascii="Verdana" w:hAnsi="Verdana" w:eastAsia="Calibri" w:cs="Calibri"/>
          <w:sz w:val="18"/>
          <w:szCs w:val="18"/>
        </w:rPr>
        <w:t xml:space="preserve">.  </w:t>
      </w:r>
    </w:p>
    <w:p w:rsidR="002444FC" w:rsidP="00DF63A4" w:rsidRDefault="003F1F87" w14:paraId="5CE8C0EC" w14:textId="14D739F0">
      <w:pPr>
        <w:spacing w:line="240" w:lineRule="atLeast"/>
        <w:rPr>
          <w:rFonts w:ascii="Verdana" w:hAnsi="Verdana" w:eastAsia="Calibri" w:cs="Calibri"/>
          <w:sz w:val="18"/>
          <w:szCs w:val="18"/>
        </w:rPr>
      </w:pPr>
      <w:r>
        <w:rPr>
          <w:rFonts w:ascii="Verdana" w:hAnsi="Verdana" w:eastAsia="Calibri" w:cs="Calibri"/>
          <w:sz w:val="18"/>
          <w:szCs w:val="18"/>
        </w:rPr>
        <w:t>De Commissie beoordeelt dat voor 12 lidstaten de uitgavengroei in lijn is met het aanbevolen uitgavenpad. Daarnaast beoordeelt dat de uitgavengroei van Portugal en Spanje grotendeels in lijn zijn</w:t>
      </w:r>
      <w:r w:rsidR="00B037E5">
        <w:rPr>
          <w:rFonts w:ascii="Verdana" w:hAnsi="Verdana" w:eastAsia="Calibri" w:cs="Calibri"/>
          <w:sz w:val="18"/>
          <w:szCs w:val="18"/>
        </w:rPr>
        <w:t>. Deze lidstaten wijken beperkt af</w:t>
      </w:r>
      <w:r>
        <w:rPr>
          <w:rFonts w:ascii="Verdana" w:hAnsi="Verdana" w:eastAsia="Calibri" w:cs="Calibri"/>
          <w:sz w:val="18"/>
          <w:szCs w:val="18"/>
        </w:rPr>
        <w:t xml:space="preserve"> van het aanbevolen uitgavenpad</w:t>
      </w:r>
      <w:r w:rsidR="00B037E5">
        <w:rPr>
          <w:rFonts w:ascii="Verdana" w:hAnsi="Verdana" w:eastAsia="Calibri" w:cs="Calibri"/>
          <w:sz w:val="18"/>
          <w:szCs w:val="18"/>
        </w:rPr>
        <w:t>, waarbij de afwijkingen onder de toegestane drempelwaarden blijven</w:t>
      </w:r>
      <w:r w:rsidR="00B037E5">
        <w:rPr>
          <w:rStyle w:val="Voetnootmarkering"/>
          <w:rFonts w:ascii="Verdana" w:hAnsi="Verdana" w:eastAsia="Calibri" w:cs="Calibri"/>
          <w:sz w:val="18"/>
          <w:szCs w:val="18"/>
        </w:rPr>
        <w:footnoteReference w:id="12"/>
      </w:r>
      <w:r>
        <w:rPr>
          <w:rFonts w:ascii="Verdana" w:hAnsi="Verdana" w:eastAsia="Calibri" w:cs="Calibri"/>
          <w:sz w:val="18"/>
          <w:szCs w:val="18"/>
        </w:rPr>
        <w:t>. De Commissie ziet voor Cyprus, Ierland, Luxemburg en Nederland een risico op afwijking</w:t>
      </w:r>
      <w:r w:rsidR="00B037E5">
        <w:rPr>
          <w:rFonts w:ascii="Verdana" w:hAnsi="Verdana" w:eastAsia="Calibri" w:cs="Calibri"/>
          <w:sz w:val="18"/>
          <w:szCs w:val="18"/>
        </w:rPr>
        <w:t>en</w:t>
      </w:r>
      <w:r>
        <w:rPr>
          <w:rFonts w:ascii="Verdana" w:hAnsi="Verdana" w:eastAsia="Calibri" w:cs="Calibri"/>
          <w:sz w:val="18"/>
          <w:szCs w:val="18"/>
        </w:rPr>
        <w:t xml:space="preserve"> van het aanbevolen uitgavenpad</w:t>
      </w:r>
      <w:r w:rsidR="00B037E5">
        <w:rPr>
          <w:rFonts w:ascii="Verdana" w:hAnsi="Verdana" w:eastAsia="Calibri" w:cs="Calibri"/>
          <w:sz w:val="18"/>
          <w:szCs w:val="18"/>
        </w:rPr>
        <w:t xml:space="preserve"> boven de toegestane drempelwaarden</w:t>
      </w:r>
      <w:r>
        <w:rPr>
          <w:rFonts w:ascii="Verdana" w:hAnsi="Verdana" w:eastAsia="Calibri" w:cs="Calibri"/>
          <w:sz w:val="18"/>
          <w:szCs w:val="18"/>
        </w:rPr>
        <w:t xml:space="preserve">. </w:t>
      </w:r>
      <w:r w:rsidR="002444FC">
        <w:rPr>
          <w:rFonts w:ascii="Verdana" w:hAnsi="Verdana" w:eastAsia="Calibri" w:cs="Calibri"/>
          <w:sz w:val="18"/>
          <w:szCs w:val="18"/>
        </w:rPr>
        <w:t xml:space="preserve">Op basis van deze beoordelingen doet de Commissie aanbevelingen aan lidstaten om de uitgavengroei in lijn te brengen met het aanbevolen uitgavenpad (zie kopje over landspecifieke aanbevelingen). De Commissie benadrukt dat dit een voorlopige beoordeling is op basis van de lenteraming van 2025. In het najaar beoordeelt de Commissie opnieuw of de </w:t>
      </w:r>
      <w:r w:rsidR="0016536D">
        <w:rPr>
          <w:rFonts w:ascii="Verdana" w:hAnsi="Verdana" w:eastAsia="Calibri" w:cs="Calibri"/>
          <w:sz w:val="18"/>
          <w:szCs w:val="18"/>
        </w:rPr>
        <w:t xml:space="preserve">(geraamde) </w:t>
      </w:r>
      <w:r w:rsidR="002444FC">
        <w:rPr>
          <w:rFonts w:ascii="Verdana" w:hAnsi="Verdana" w:eastAsia="Calibri" w:cs="Calibri"/>
          <w:sz w:val="18"/>
          <w:szCs w:val="18"/>
        </w:rPr>
        <w:t xml:space="preserve">uitgavengroei </w:t>
      </w:r>
      <w:r w:rsidR="0016536D">
        <w:rPr>
          <w:rFonts w:ascii="Verdana" w:hAnsi="Verdana" w:eastAsia="Calibri" w:cs="Calibri"/>
          <w:sz w:val="18"/>
          <w:szCs w:val="18"/>
        </w:rPr>
        <w:t xml:space="preserve">voor 2025 </w:t>
      </w:r>
      <w:r w:rsidR="002444FC">
        <w:rPr>
          <w:rFonts w:ascii="Verdana" w:hAnsi="Verdana" w:eastAsia="Calibri" w:cs="Calibri"/>
          <w:sz w:val="18"/>
          <w:szCs w:val="18"/>
        </w:rPr>
        <w:t xml:space="preserve">in lijn is met het aanbevolen uitgavenpad. In het voorjaar van 2026 volgt een definitieve beoordeling op basis van de gerealiseerde uitgavengroei in 2025. </w:t>
      </w:r>
    </w:p>
    <w:p w:rsidR="006C7493" w:rsidP="00DF63A4" w:rsidRDefault="006C7493" w14:paraId="0C4DBCB8" w14:textId="675B7A42">
      <w:pPr>
        <w:spacing w:line="240" w:lineRule="atLeast"/>
        <w:rPr>
          <w:rFonts w:ascii="Verdana" w:hAnsi="Verdana" w:eastAsia="Calibri" w:cs="Calibri"/>
          <w:sz w:val="18"/>
          <w:szCs w:val="18"/>
        </w:rPr>
      </w:pPr>
      <w:r>
        <w:rPr>
          <w:rFonts w:ascii="Verdana" w:hAnsi="Verdana" w:eastAsia="Calibri" w:cs="Calibri"/>
          <w:sz w:val="18"/>
          <w:szCs w:val="18"/>
        </w:rPr>
        <w:t xml:space="preserve">De </w:t>
      </w:r>
      <w:r w:rsidR="00B037E5">
        <w:rPr>
          <w:rFonts w:ascii="Verdana" w:hAnsi="Verdana" w:eastAsia="Calibri" w:cs="Calibri"/>
          <w:sz w:val="18"/>
          <w:szCs w:val="18"/>
        </w:rPr>
        <w:t>beoordeling van de Commissie dat de uitgavengroei van</w:t>
      </w:r>
      <w:r>
        <w:rPr>
          <w:rFonts w:ascii="Verdana" w:hAnsi="Verdana" w:eastAsia="Calibri" w:cs="Calibri"/>
          <w:sz w:val="18"/>
          <w:szCs w:val="18"/>
        </w:rPr>
        <w:t xml:space="preserve"> Nederland</w:t>
      </w:r>
      <w:r w:rsidR="00B037E5">
        <w:rPr>
          <w:rFonts w:ascii="Verdana" w:hAnsi="Verdana" w:eastAsia="Calibri" w:cs="Calibri"/>
          <w:sz w:val="18"/>
          <w:szCs w:val="18"/>
        </w:rPr>
        <w:t xml:space="preserve"> in 2025</w:t>
      </w:r>
      <w:r w:rsidRPr="006C7493">
        <w:rPr>
          <w:rFonts w:ascii="Verdana" w:hAnsi="Verdana" w:eastAsia="Calibri" w:cs="Calibri"/>
          <w:sz w:val="18"/>
          <w:szCs w:val="18"/>
        </w:rPr>
        <w:t xml:space="preserve"> </w:t>
      </w:r>
      <w:r w:rsidR="00B037E5">
        <w:rPr>
          <w:rFonts w:ascii="Verdana" w:hAnsi="Verdana" w:eastAsia="Calibri" w:cs="Calibri"/>
          <w:sz w:val="18"/>
          <w:szCs w:val="18"/>
        </w:rPr>
        <w:t xml:space="preserve">hoger is dan het door de Raad aanbevolen uitgavenpad, </w:t>
      </w:r>
      <w:r w:rsidRPr="006C7493">
        <w:rPr>
          <w:rFonts w:ascii="Verdana" w:hAnsi="Verdana" w:eastAsia="Calibri" w:cs="Calibri"/>
          <w:sz w:val="18"/>
          <w:szCs w:val="18"/>
        </w:rPr>
        <w:t xml:space="preserve">is conform verwachting zoals </w:t>
      </w:r>
      <w:r w:rsidR="000E15B0">
        <w:rPr>
          <w:rFonts w:ascii="Verdana" w:hAnsi="Verdana" w:eastAsia="Calibri" w:cs="Calibri"/>
          <w:sz w:val="18"/>
          <w:szCs w:val="18"/>
        </w:rPr>
        <w:t xml:space="preserve">gecommuniceerd in het voortgangsrapport en </w:t>
      </w:r>
      <w:r w:rsidRPr="006C7493">
        <w:rPr>
          <w:rFonts w:ascii="Verdana" w:hAnsi="Verdana" w:eastAsia="Calibri" w:cs="Calibri"/>
          <w:sz w:val="18"/>
          <w:szCs w:val="18"/>
        </w:rPr>
        <w:t>eerder gedeeld met uw Kamer</w:t>
      </w:r>
      <w:r>
        <w:rPr>
          <w:rStyle w:val="Voetnootmarkering"/>
          <w:rFonts w:ascii="Verdana" w:hAnsi="Verdana" w:eastAsia="Calibri" w:cs="Calibri"/>
          <w:sz w:val="18"/>
          <w:szCs w:val="18"/>
        </w:rPr>
        <w:footnoteReference w:id="13"/>
      </w:r>
      <w:r w:rsidRPr="006C7493">
        <w:rPr>
          <w:rFonts w:ascii="Verdana" w:hAnsi="Verdana" w:eastAsia="Calibri" w:cs="Calibri"/>
          <w:sz w:val="18"/>
          <w:szCs w:val="18"/>
        </w:rPr>
        <w:t xml:space="preserve">. </w:t>
      </w:r>
      <w:r w:rsidR="000E15B0">
        <w:rPr>
          <w:rFonts w:ascii="Verdana" w:hAnsi="Verdana" w:eastAsia="Calibri" w:cs="Calibri"/>
          <w:sz w:val="18"/>
          <w:szCs w:val="18"/>
        </w:rPr>
        <w:t>Het door de Raad aanbevolen uitgavenpad</w:t>
      </w:r>
      <w:r w:rsidRPr="006C7493">
        <w:rPr>
          <w:rFonts w:ascii="Verdana" w:hAnsi="Verdana" w:eastAsia="Calibri" w:cs="Calibri"/>
          <w:sz w:val="18"/>
          <w:szCs w:val="18"/>
        </w:rPr>
        <w:t xml:space="preserve"> </w:t>
      </w:r>
      <w:r w:rsidR="000E15B0">
        <w:rPr>
          <w:rFonts w:ascii="Verdana" w:hAnsi="Verdana" w:eastAsia="Calibri" w:cs="Calibri"/>
          <w:sz w:val="18"/>
          <w:szCs w:val="18"/>
        </w:rPr>
        <w:t>gaat uit van</w:t>
      </w:r>
      <w:r w:rsidRPr="006C7493">
        <w:rPr>
          <w:rFonts w:ascii="Verdana" w:hAnsi="Verdana" w:eastAsia="Calibri" w:cs="Calibri"/>
          <w:sz w:val="18"/>
          <w:szCs w:val="18"/>
        </w:rPr>
        <w:t xml:space="preserve"> een lagere uitgavengroei dan op basis van de Miljoenennota 2025 voorzien. Zolang lidstaten binnen de Europese referentiewaarden blijven, kunnen de Commissie en de Raad geen handhavingsmaatregelen </w:t>
      </w:r>
      <w:r w:rsidR="00160D6A">
        <w:rPr>
          <w:rFonts w:ascii="Verdana" w:hAnsi="Verdana" w:eastAsia="Calibri" w:cs="Calibri"/>
          <w:sz w:val="18"/>
          <w:szCs w:val="18"/>
        </w:rPr>
        <w:t>nemen</w:t>
      </w:r>
      <w:r w:rsidRPr="006C7493">
        <w:rPr>
          <w:rFonts w:ascii="Verdana" w:hAnsi="Verdana" w:eastAsia="Calibri" w:cs="Calibri"/>
          <w:sz w:val="18"/>
          <w:szCs w:val="18"/>
        </w:rPr>
        <w:t xml:space="preserve">. </w:t>
      </w:r>
    </w:p>
    <w:p w:rsidR="006C7493" w:rsidP="003F1F87" w:rsidRDefault="006C7493" w14:paraId="1E4691B4" w14:textId="77777777">
      <w:pPr>
        <w:spacing w:line="240" w:lineRule="auto"/>
        <w:rPr>
          <w:rFonts w:ascii="Verdana" w:hAnsi="Verdana" w:eastAsia="Calibri" w:cs="Calibri"/>
          <w:sz w:val="18"/>
          <w:szCs w:val="18"/>
        </w:rPr>
      </w:pPr>
    </w:p>
    <w:p w:rsidRPr="008D06E2" w:rsidR="00F871DE" w:rsidP="00160D6A" w:rsidRDefault="00F871DE" w14:paraId="03E631F4" w14:textId="4E996B59">
      <w:pPr>
        <w:spacing w:line="240" w:lineRule="auto"/>
        <w:rPr>
          <w:rFonts w:ascii="Verdana" w:hAnsi="Verdana" w:eastAsia="Verdana" w:cs="Verdana"/>
          <w:b/>
          <w:bCs/>
          <w:sz w:val="18"/>
          <w:szCs w:val="18"/>
        </w:rPr>
      </w:pPr>
      <w:bookmarkStart w:name="_Hlk199246479" w:id="1"/>
      <w:bookmarkEnd w:id="0"/>
      <w:r w:rsidRPr="008D06E2">
        <w:rPr>
          <w:rFonts w:ascii="Verdana" w:hAnsi="Verdana" w:eastAsia="Verdana" w:cs="Verdana"/>
          <w:b/>
          <w:bCs/>
          <w:sz w:val="18"/>
          <w:szCs w:val="18"/>
        </w:rPr>
        <w:t xml:space="preserve">Implementatie Stabiliteits-en Groeipact – Beoordeling buitensporige tekorten </w:t>
      </w:r>
      <w:r w:rsidR="002C1838">
        <w:rPr>
          <w:rFonts w:ascii="Verdana" w:hAnsi="Verdana" w:eastAsia="Verdana" w:cs="Verdana"/>
          <w:b/>
          <w:bCs/>
          <w:sz w:val="18"/>
          <w:szCs w:val="18"/>
        </w:rPr>
        <w:t>en effectief gevolg aan aanbevelingen</w:t>
      </w:r>
    </w:p>
    <w:p w:rsidRPr="008D06E2" w:rsidR="00602BEA" w:rsidP="008D06E2" w:rsidRDefault="00602BEA" w14:paraId="3879B405" w14:textId="552D16A7">
      <w:pPr>
        <w:spacing w:after="0" w:line="240" w:lineRule="auto"/>
        <w:rPr>
          <w:rFonts w:ascii="Verdana" w:hAnsi="Verdana" w:eastAsia="Verdana" w:cs="Verdana"/>
          <w:b/>
          <w:bCs/>
          <w:sz w:val="18"/>
          <w:szCs w:val="18"/>
        </w:rPr>
      </w:pPr>
      <w:r w:rsidRPr="008D06E2">
        <w:rPr>
          <w:rFonts w:ascii="Verdana" w:hAnsi="Verdana" w:eastAsia="Verdana" w:cs="Verdana"/>
          <w:b/>
          <w:bCs/>
          <w:sz w:val="18"/>
          <w:szCs w:val="18"/>
        </w:rPr>
        <w:t xml:space="preserve">Document: </w:t>
      </w:r>
      <w:r w:rsidR="00C64DFC">
        <w:rPr>
          <w:rFonts w:ascii="Verdana" w:hAnsi="Verdana" w:eastAsia="Verdana" w:cs="Verdana"/>
          <w:sz w:val="18"/>
          <w:szCs w:val="18"/>
        </w:rPr>
        <w:t>het</w:t>
      </w:r>
      <w:r w:rsidRPr="008D06E2">
        <w:rPr>
          <w:rFonts w:ascii="Verdana" w:hAnsi="Verdana" w:eastAsia="Verdana" w:cs="Verdana"/>
          <w:sz w:val="18"/>
          <w:szCs w:val="18"/>
        </w:rPr>
        <w:t xml:space="preserve"> 126.3-rapport van de Commissie</w:t>
      </w:r>
      <w:r w:rsidR="005A5520">
        <w:rPr>
          <w:rStyle w:val="Voetnootmarkering"/>
          <w:rFonts w:ascii="Verdana" w:hAnsi="Verdana" w:eastAsia="Verdana" w:cs="Verdana"/>
          <w:sz w:val="18"/>
          <w:szCs w:val="18"/>
        </w:rPr>
        <w:footnoteReference w:id="14"/>
      </w:r>
      <w:r w:rsidRPr="008D06E2">
        <w:rPr>
          <w:rFonts w:ascii="Verdana" w:hAnsi="Verdana" w:eastAsia="Verdana" w:cs="Verdana"/>
          <w:sz w:val="18"/>
          <w:szCs w:val="18"/>
        </w:rPr>
        <w:t xml:space="preserve"> en het voorstel voor het Raadsbesluit om vast te stellen dat Roemenië geen effectie</w:t>
      </w:r>
      <w:r w:rsidR="00482E79">
        <w:rPr>
          <w:rFonts w:ascii="Verdana" w:hAnsi="Verdana" w:eastAsia="Verdana" w:cs="Verdana"/>
          <w:sz w:val="18"/>
          <w:szCs w:val="18"/>
        </w:rPr>
        <w:t>f</w:t>
      </w:r>
      <w:r w:rsidRPr="008D06E2">
        <w:rPr>
          <w:rFonts w:ascii="Verdana" w:hAnsi="Verdana" w:eastAsia="Verdana" w:cs="Verdana"/>
          <w:sz w:val="18"/>
          <w:szCs w:val="18"/>
        </w:rPr>
        <w:t xml:space="preserve"> </w:t>
      </w:r>
      <w:r w:rsidR="00482E79">
        <w:rPr>
          <w:rFonts w:ascii="Verdana" w:hAnsi="Verdana" w:eastAsia="Verdana" w:cs="Verdana"/>
          <w:sz w:val="18"/>
          <w:szCs w:val="18"/>
        </w:rPr>
        <w:t>gevolg</w:t>
      </w:r>
      <w:r w:rsidRPr="008D06E2" w:rsidR="00482E79">
        <w:rPr>
          <w:rFonts w:ascii="Verdana" w:hAnsi="Verdana" w:eastAsia="Verdana" w:cs="Verdana"/>
          <w:sz w:val="18"/>
          <w:szCs w:val="18"/>
        </w:rPr>
        <w:t xml:space="preserve"> </w:t>
      </w:r>
      <w:r w:rsidRPr="008D06E2">
        <w:rPr>
          <w:rFonts w:ascii="Verdana" w:hAnsi="Verdana" w:eastAsia="Verdana" w:cs="Verdana"/>
          <w:sz w:val="18"/>
          <w:szCs w:val="18"/>
        </w:rPr>
        <w:t>heeft gegeven aan de Raadsaanbeveling om een buitensporig tekort te corrigeren</w:t>
      </w:r>
      <w:r w:rsidR="005A5520">
        <w:rPr>
          <w:rStyle w:val="Voetnootmarkering"/>
          <w:rFonts w:ascii="Verdana" w:hAnsi="Verdana" w:eastAsia="Verdana" w:cs="Verdana"/>
          <w:sz w:val="18"/>
          <w:szCs w:val="18"/>
        </w:rPr>
        <w:footnoteReference w:id="15"/>
      </w:r>
      <w:r w:rsidRPr="008D06E2">
        <w:rPr>
          <w:rFonts w:ascii="Verdana" w:hAnsi="Verdana" w:eastAsia="Verdana" w:cs="Verdana"/>
          <w:sz w:val="18"/>
          <w:szCs w:val="18"/>
        </w:rPr>
        <w:t xml:space="preserve"> </w:t>
      </w:r>
      <w:r w:rsidR="00482E79">
        <w:rPr>
          <w:rFonts w:ascii="Verdana" w:hAnsi="Verdana" w:eastAsia="Verdana" w:cs="Verdana"/>
          <w:sz w:val="18"/>
          <w:szCs w:val="18"/>
        </w:rPr>
        <w:t>zijn</w:t>
      </w:r>
      <w:r w:rsidRPr="008D06E2" w:rsidR="00482E79">
        <w:rPr>
          <w:rFonts w:ascii="Verdana" w:hAnsi="Verdana" w:eastAsia="Verdana" w:cs="Verdana"/>
          <w:sz w:val="18"/>
          <w:szCs w:val="18"/>
        </w:rPr>
        <w:t xml:space="preserve"> </w:t>
      </w:r>
      <w:r w:rsidRPr="008D06E2">
        <w:rPr>
          <w:rFonts w:ascii="Verdana" w:hAnsi="Verdana" w:eastAsia="Verdana" w:cs="Verdana"/>
          <w:sz w:val="18"/>
          <w:szCs w:val="18"/>
        </w:rPr>
        <w:t xml:space="preserve">publiek beschikbaar. </w:t>
      </w:r>
    </w:p>
    <w:p w:rsidRPr="008D06E2" w:rsidR="00F871DE" w:rsidP="008D06E2" w:rsidRDefault="00F871DE" w14:paraId="31171670" w14:textId="1F1A0B98">
      <w:pPr>
        <w:spacing w:after="0" w:line="240" w:lineRule="auto"/>
        <w:rPr>
          <w:rFonts w:ascii="Verdana" w:hAnsi="Verdana" w:eastAsia="Verdana" w:cs="Verdana"/>
          <w:sz w:val="18"/>
          <w:szCs w:val="18"/>
        </w:rPr>
      </w:pPr>
      <w:r w:rsidRPr="008D06E2">
        <w:rPr>
          <w:rFonts w:ascii="Verdana" w:hAnsi="Verdana" w:eastAsia="Verdana" w:cs="Verdana"/>
          <w:b/>
          <w:bCs/>
          <w:sz w:val="18"/>
          <w:szCs w:val="18"/>
        </w:rPr>
        <w:t xml:space="preserve">Aard bespreking: </w:t>
      </w:r>
      <w:r w:rsidR="00482E79">
        <w:rPr>
          <w:rFonts w:ascii="Verdana" w:hAnsi="Verdana" w:eastAsia="Verdana" w:cs="Verdana"/>
          <w:sz w:val="18"/>
          <w:szCs w:val="18"/>
        </w:rPr>
        <w:t xml:space="preserve">presentatie (126.3-rapport) en </w:t>
      </w:r>
      <w:r w:rsidRPr="008D06E2" w:rsidR="00602BEA">
        <w:rPr>
          <w:rFonts w:ascii="Verdana" w:hAnsi="Verdana" w:eastAsia="Verdana" w:cs="Verdana"/>
          <w:sz w:val="18"/>
          <w:szCs w:val="18"/>
        </w:rPr>
        <w:t>besluitvorming</w:t>
      </w:r>
      <w:r w:rsidR="00482E79">
        <w:rPr>
          <w:rFonts w:ascii="Verdana" w:hAnsi="Verdana" w:eastAsia="Verdana" w:cs="Verdana"/>
          <w:sz w:val="18"/>
          <w:szCs w:val="18"/>
        </w:rPr>
        <w:t xml:space="preserve"> (Raadsbesluit geen effectief gevolg)</w:t>
      </w:r>
      <w:r w:rsidRPr="008D06E2">
        <w:rPr>
          <w:rFonts w:ascii="Verdana" w:hAnsi="Verdana"/>
          <w:sz w:val="18"/>
          <w:szCs w:val="18"/>
        </w:rPr>
        <w:br/>
      </w:r>
      <w:r w:rsidRPr="008D06E2">
        <w:rPr>
          <w:rFonts w:ascii="Verdana" w:hAnsi="Verdana" w:eastAsia="Verdana" w:cs="Verdana"/>
          <w:b/>
          <w:bCs/>
          <w:sz w:val="18"/>
          <w:szCs w:val="18"/>
        </w:rPr>
        <w:t xml:space="preserve">Besluitvormingsprocedure: </w:t>
      </w:r>
      <w:r w:rsidRPr="008D06E2">
        <w:rPr>
          <w:rFonts w:ascii="Verdana" w:hAnsi="Verdana" w:eastAsia="Verdana" w:cs="Verdana"/>
          <w:sz w:val="18"/>
          <w:szCs w:val="18"/>
        </w:rPr>
        <w:t xml:space="preserve">gekwalificeerde meerderheid </w:t>
      </w:r>
    </w:p>
    <w:p w:rsidRPr="008D06E2" w:rsidR="00F871DE" w:rsidP="008D06E2" w:rsidRDefault="00F871DE" w14:paraId="372AE6D4" w14:textId="15096423">
      <w:pPr>
        <w:spacing w:line="240" w:lineRule="auto"/>
        <w:rPr>
          <w:rFonts w:ascii="Verdana" w:hAnsi="Verdana"/>
          <w:sz w:val="18"/>
          <w:szCs w:val="18"/>
        </w:rPr>
      </w:pPr>
      <w:r w:rsidRPr="008D06E2">
        <w:rPr>
          <w:rFonts w:ascii="Verdana" w:hAnsi="Verdana" w:eastAsia="Verdana" w:cs="Verdana"/>
          <w:b/>
          <w:bCs/>
          <w:sz w:val="18"/>
          <w:szCs w:val="18"/>
        </w:rPr>
        <w:t>Toelichting:</w:t>
      </w:r>
    </w:p>
    <w:bookmarkEnd w:id="1"/>
    <w:p w:rsidR="00C633D5" w:rsidP="00DF63A4" w:rsidRDefault="00C633D5" w14:paraId="683ECF4B" w14:textId="77777777">
      <w:pPr>
        <w:spacing w:after="0" w:line="240" w:lineRule="atLeast"/>
        <w:contextualSpacing/>
        <w:rPr>
          <w:rFonts w:ascii="Verdana" w:hAnsi="Verdana"/>
          <w:sz w:val="18"/>
          <w:szCs w:val="18"/>
        </w:rPr>
      </w:pPr>
      <w:r w:rsidRPr="008D06E2">
        <w:rPr>
          <w:rFonts w:ascii="Verdana" w:hAnsi="Verdana"/>
          <w:sz w:val="18"/>
          <w:szCs w:val="18"/>
        </w:rPr>
        <w:t>De Commissie beoordeelt jaarlijks de aanwezigheid van buitensporige tekorten in lidstaten in het kader van artikel 126</w:t>
      </w:r>
      <w:r>
        <w:rPr>
          <w:rFonts w:ascii="Verdana" w:hAnsi="Verdana"/>
          <w:sz w:val="18"/>
          <w:szCs w:val="18"/>
        </w:rPr>
        <w:t>, lid 3,</w:t>
      </w:r>
      <w:r w:rsidRPr="008D06E2">
        <w:rPr>
          <w:rFonts w:ascii="Verdana" w:hAnsi="Verdana"/>
          <w:sz w:val="18"/>
          <w:szCs w:val="18"/>
        </w:rPr>
        <w:t xml:space="preserve"> van het Verdrag betreffende de werking van de Europese Unie (VWEU). Zij doet dit wanneer het begrotingstekort de referentiewaarde van 3% overschrijdt of wanneer de schuld de referentiewaarde van 60% overschrijdt én onvoldoende snel daalt. In het herziene raamwerk betekent dit laatste concreet dat de Commissie een onderzoek start wanneer de lidstaat drempelwaarden overschrijdt voor de afwijking van het uitgavenpad dat de Raad aan de lidstaat heeft aanbevolen. Omdat dit uitgavenpad pas in </w:t>
      </w:r>
      <w:r>
        <w:rPr>
          <w:rFonts w:ascii="Verdana" w:hAnsi="Verdana"/>
          <w:sz w:val="18"/>
          <w:szCs w:val="18"/>
        </w:rPr>
        <w:t xml:space="preserve">januari 2025 </w:t>
      </w:r>
      <w:r w:rsidRPr="008D06E2">
        <w:rPr>
          <w:rFonts w:ascii="Verdana" w:hAnsi="Verdana"/>
          <w:sz w:val="18"/>
          <w:szCs w:val="18"/>
        </w:rPr>
        <w:t xml:space="preserve">is aanbevolen, </w:t>
      </w:r>
      <w:r>
        <w:rPr>
          <w:rFonts w:ascii="Verdana" w:hAnsi="Verdana"/>
          <w:sz w:val="18"/>
          <w:szCs w:val="18"/>
        </w:rPr>
        <w:t xml:space="preserve">is </w:t>
      </w:r>
      <w:r w:rsidRPr="008D06E2">
        <w:rPr>
          <w:rFonts w:ascii="Verdana" w:hAnsi="Verdana"/>
          <w:sz w:val="18"/>
          <w:szCs w:val="18"/>
        </w:rPr>
        <w:t xml:space="preserve">2025 </w:t>
      </w:r>
      <w:r>
        <w:rPr>
          <w:rFonts w:ascii="Verdana" w:hAnsi="Verdana"/>
          <w:sz w:val="18"/>
          <w:szCs w:val="18"/>
        </w:rPr>
        <w:t xml:space="preserve">een </w:t>
      </w:r>
      <w:r w:rsidRPr="008D06E2">
        <w:rPr>
          <w:rFonts w:ascii="Verdana" w:hAnsi="Verdana"/>
          <w:sz w:val="18"/>
          <w:szCs w:val="18"/>
        </w:rPr>
        <w:t>transitiejaar</w:t>
      </w:r>
      <w:r>
        <w:rPr>
          <w:rFonts w:ascii="Verdana" w:hAnsi="Verdana"/>
          <w:sz w:val="18"/>
          <w:szCs w:val="18"/>
        </w:rPr>
        <w:t>. De Commissie beoordeelt dit voorjaar daarom alleen overschrijdingen van de tekortnorm, maar</w:t>
      </w:r>
      <w:r w:rsidRPr="008D06E2">
        <w:rPr>
          <w:rFonts w:ascii="Verdana" w:hAnsi="Verdana"/>
          <w:sz w:val="18"/>
          <w:szCs w:val="18"/>
        </w:rPr>
        <w:t xml:space="preserve"> nog </w:t>
      </w:r>
      <w:r>
        <w:rPr>
          <w:rFonts w:ascii="Verdana" w:hAnsi="Verdana"/>
          <w:sz w:val="18"/>
          <w:szCs w:val="18"/>
        </w:rPr>
        <w:t xml:space="preserve">niet een </w:t>
      </w:r>
      <w:r w:rsidRPr="008D06E2">
        <w:rPr>
          <w:rFonts w:ascii="Verdana" w:hAnsi="Verdana"/>
          <w:sz w:val="18"/>
          <w:szCs w:val="18"/>
        </w:rPr>
        <w:t xml:space="preserve">overschrijding </w:t>
      </w:r>
      <w:r>
        <w:rPr>
          <w:rFonts w:ascii="Verdana" w:hAnsi="Verdana"/>
          <w:sz w:val="18"/>
          <w:szCs w:val="18"/>
        </w:rPr>
        <w:t>van het uitgavenpad.</w:t>
      </w:r>
      <w:r w:rsidRPr="008D06E2">
        <w:rPr>
          <w:rFonts w:ascii="Verdana" w:hAnsi="Verdana"/>
          <w:sz w:val="18"/>
          <w:szCs w:val="18"/>
        </w:rPr>
        <w:t xml:space="preserve"> De Commissie baseert zich </w:t>
      </w:r>
      <w:r>
        <w:rPr>
          <w:rFonts w:ascii="Verdana" w:hAnsi="Verdana"/>
          <w:sz w:val="18"/>
          <w:szCs w:val="18"/>
        </w:rPr>
        <w:lastRenderedPageBreak/>
        <w:t xml:space="preserve">daarbij </w:t>
      </w:r>
      <w:r w:rsidRPr="008D06E2">
        <w:rPr>
          <w:rFonts w:ascii="Verdana" w:hAnsi="Verdana"/>
          <w:sz w:val="18"/>
          <w:szCs w:val="18"/>
        </w:rPr>
        <w:t xml:space="preserve">op de gerealiseerde cijfers voor het begrotingstekort in 2024 en de verwachte cijfers voor het begrotingstekort in 2025. </w:t>
      </w:r>
    </w:p>
    <w:p w:rsidR="00C633D5" w:rsidP="00DF63A4" w:rsidRDefault="00C633D5" w14:paraId="4CA3533A" w14:textId="77777777">
      <w:pPr>
        <w:spacing w:after="0" w:line="240" w:lineRule="atLeast"/>
        <w:contextualSpacing/>
        <w:rPr>
          <w:rFonts w:ascii="Verdana" w:hAnsi="Verdana"/>
          <w:sz w:val="18"/>
          <w:szCs w:val="18"/>
        </w:rPr>
      </w:pPr>
    </w:p>
    <w:p w:rsidR="00C633D5" w:rsidP="00DF63A4" w:rsidRDefault="00C633D5" w14:paraId="30BCAFE3" w14:textId="7E7EE176">
      <w:pPr>
        <w:spacing w:after="0" w:line="240" w:lineRule="atLeast"/>
        <w:contextualSpacing/>
        <w:rPr>
          <w:rFonts w:ascii="Verdana" w:hAnsi="Verdana"/>
          <w:sz w:val="18"/>
          <w:szCs w:val="18"/>
        </w:rPr>
      </w:pPr>
      <w:r>
        <w:rPr>
          <w:rFonts w:ascii="Verdana" w:hAnsi="Verdana"/>
          <w:sz w:val="18"/>
          <w:szCs w:val="18"/>
        </w:rPr>
        <w:t xml:space="preserve">Deze cijfers waren voor de </w:t>
      </w:r>
      <w:r w:rsidRPr="008D06E2">
        <w:rPr>
          <w:rFonts w:ascii="Verdana" w:hAnsi="Verdana"/>
          <w:sz w:val="18"/>
          <w:szCs w:val="18"/>
        </w:rPr>
        <w:t xml:space="preserve">Commissie </w:t>
      </w:r>
      <w:r>
        <w:rPr>
          <w:rFonts w:ascii="Verdana" w:hAnsi="Verdana"/>
          <w:sz w:val="18"/>
          <w:szCs w:val="18"/>
        </w:rPr>
        <w:t xml:space="preserve">aanleiding om </w:t>
      </w:r>
      <w:r w:rsidRPr="008D06E2">
        <w:rPr>
          <w:rFonts w:ascii="Verdana" w:hAnsi="Verdana"/>
          <w:sz w:val="18"/>
          <w:szCs w:val="18"/>
        </w:rPr>
        <w:t xml:space="preserve">onderzoek </w:t>
      </w:r>
      <w:r>
        <w:rPr>
          <w:rFonts w:ascii="Verdana" w:hAnsi="Verdana"/>
          <w:sz w:val="18"/>
          <w:szCs w:val="18"/>
        </w:rPr>
        <w:t xml:space="preserve">te doen </w:t>
      </w:r>
      <w:r w:rsidRPr="008D06E2">
        <w:rPr>
          <w:rFonts w:ascii="Verdana" w:hAnsi="Verdana"/>
          <w:sz w:val="18"/>
          <w:szCs w:val="18"/>
        </w:rPr>
        <w:t xml:space="preserve">naar het bestaan van een buitensporig tekort in </w:t>
      </w:r>
      <w:r w:rsidRPr="00035966">
        <w:rPr>
          <w:rFonts w:ascii="Verdana" w:hAnsi="Verdana"/>
          <w:sz w:val="18"/>
          <w:szCs w:val="18"/>
        </w:rPr>
        <w:t>Finland,</w:t>
      </w:r>
      <w:r>
        <w:rPr>
          <w:rFonts w:ascii="Verdana" w:hAnsi="Verdana"/>
          <w:sz w:val="18"/>
          <w:szCs w:val="18"/>
        </w:rPr>
        <w:t xml:space="preserve"> </w:t>
      </w:r>
      <w:r w:rsidRPr="00035966">
        <w:rPr>
          <w:rFonts w:ascii="Verdana" w:hAnsi="Verdana"/>
          <w:sz w:val="18"/>
          <w:szCs w:val="18"/>
        </w:rPr>
        <w:t>Letland, Oostenrijk</w:t>
      </w:r>
      <w:r>
        <w:rPr>
          <w:rFonts w:ascii="Verdana" w:hAnsi="Verdana"/>
          <w:sz w:val="18"/>
          <w:szCs w:val="18"/>
        </w:rPr>
        <w:t xml:space="preserve"> en Spanje</w:t>
      </w:r>
      <w:r w:rsidRPr="008D06E2">
        <w:rPr>
          <w:rFonts w:ascii="Verdana" w:hAnsi="Verdana"/>
          <w:sz w:val="18"/>
          <w:szCs w:val="18"/>
        </w:rPr>
        <w:t xml:space="preserve">. </w:t>
      </w:r>
      <w:r>
        <w:rPr>
          <w:rFonts w:ascii="Verdana" w:hAnsi="Verdana"/>
          <w:sz w:val="18"/>
          <w:szCs w:val="18"/>
        </w:rPr>
        <w:t>Daarbij gaat het om een overschrijding in 2024 voor Spanje, een verwachte overschrijding in 2025 voor Letland, en een overschrijding in beide jaren voor Finland en Oostenrijk. De Commissie zet uiteen dat Spanje en Letland voldoen aan de voorwaarden om (verzachtende) relevante factoren mee te wegen bij de beoordeling</w:t>
      </w:r>
      <w:r>
        <w:rPr>
          <w:rStyle w:val="Voetnootmarkering"/>
          <w:rFonts w:ascii="Verdana" w:hAnsi="Verdana"/>
          <w:sz w:val="18"/>
          <w:szCs w:val="18"/>
        </w:rPr>
        <w:footnoteReference w:id="16"/>
      </w:r>
      <w:r>
        <w:rPr>
          <w:rFonts w:ascii="Verdana" w:hAnsi="Verdana"/>
          <w:sz w:val="18"/>
          <w:szCs w:val="18"/>
        </w:rPr>
        <w:t xml:space="preserve">. Bij Spanje gaat het daarbij om </w:t>
      </w:r>
      <w:r w:rsidRPr="00F80C5C">
        <w:rPr>
          <w:rFonts w:ascii="Verdana" w:hAnsi="Verdana"/>
          <w:sz w:val="18"/>
          <w:szCs w:val="18"/>
        </w:rPr>
        <w:t xml:space="preserve">een overstroming </w:t>
      </w:r>
      <w:r>
        <w:rPr>
          <w:rFonts w:ascii="Verdana" w:hAnsi="Verdana"/>
          <w:sz w:val="18"/>
          <w:szCs w:val="18"/>
        </w:rPr>
        <w:t>in 2024</w:t>
      </w:r>
      <w:r w:rsidRPr="00F80C5C">
        <w:rPr>
          <w:rFonts w:ascii="Verdana" w:hAnsi="Verdana"/>
          <w:sz w:val="18"/>
          <w:szCs w:val="18"/>
        </w:rPr>
        <w:t>, waardoor extra kosten moesten worden gemaakt</w:t>
      </w:r>
      <w:r>
        <w:rPr>
          <w:rFonts w:ascii="Verdana" w:hAnsi="Verdana"/>
          <w:sz w:val="18"/>
          <w:szCs w:val="18"/>
        </w:rPr>
        <w:t xml:space="preserve">. Bij Letland is </w:t>
      </w:r>
      <w:r w:rsidRPr="00F80C5C">
        <w:rPr>
          <w:rFonts w:ascii="Verdana" w:hAnsi="Verdana"/>
          <w:sz w:val="18"/>
          <w:szCs w:val="18"/>
        </w:rPr>
        <w:t>het verwachte hogere overheidstekort te wij</w:t>
      </w:r>
      <w:r>
        <w:rPr>
          <w:rFonts w:ascii="Verdana" w:hAnsi="Verdana"/>
          <w:sz w:val="18"/>
          <w:szCs w:val="18"/>
        </w:rPr>
        <w:t>t</w:t>
      </w:r>
      <w:r w:rsidRPr="00F80C5C">
        <w:rPr>
          <w:rFonts w:ascii="Verdana" w:hAnsi="Verdana"/>
          <w:sz w:val="18"/>
          <w:szCs w:val="18"/>
        </w:rPr>
        <w:t>en aan hogere defensie-uitgaven</w:t>
      </w:r>
      <w:r>
        <w:rPr>
          <w:rFonts w:ascii="Verdana" w:hAnsi="Verdana"/>
          <w:sz w:val="18"/>
          <w:szCs w:val="18"/>
        </w:rPr>
        <w:t xml:space="preserve">. </w:t>
      </w:r>
      <w:r w:rsidRPr="009C5104">
        <w:rPr>
          <w:rFonts w:ascii="Verdana" w:hAnsi="Verdana"/>
          <w:sz w:val="18"/>
          <w:szCs w:val="18"/>
        </w:rPr>
        <w:t xml:space="preserve">De Commissie concludeert dat er na </w:t>
      </w:r>
      <w:r w:rsidRPr="009C5104" w:rsidR="004D62D0">
        <w:rPr>
          <w:rFonts w:ascii="Verdana" w:hAnsi="Verdana"/>
          <w:sz w:val="18"/>
          <w:szCs w:val="18"/>
        </w:rPr>
        <w:t>meeweg</w:t>
      </w:r>
      <w:r w:rsidR="00DF63A4">
        <w:rPr>
          <w:rFonts w:ascii="Verdana" w:hAnsi="Verdana"/>
          <w:sz w:val="18"/>
          <w:szCs w:val="18"/>
        </w:rPr>
        <w:t>en</w:t>
      </w:r>
      <w:r w:rsidRPr="009C5104">
        <w:rPr>
          <w:rFonts w:ascii="Verdana" w:hAnsi="Verdana"/>
          <w:sz w:val="18"/>
          <w:szCs w:val="18"/>
        </w:rPr>
        <w:t xml:space="preserve"> van deze factoren geen reden is om een buitensporig tekort vast te stellen voor Spanje en Letland</w:t>
      </w:r>
      <w:r>
        <w:rPr>
          <w:rFonts w:ascii="Verdana" w:hAnsi="Verdana"/>
          <w:sz w:val="18"/>
          <w:szCs w:val="18"/>
        </w:rPr>
        <w:t xml:space="preserve">. Ook voor </w:t>
      </w:r>
      <w:r w:rsidRPr="008D06E2">
        <w:rPr>
          <w:rFonts w:ascii="Verdana" w:hAnsi="Verdana"/>
          <w:sz w:val="18"/>
          <w:szCs w:val="18"/>
        </w:rPr>
        <w:t>Finland</w:t>
      </w:r>
      <w:r w:rsidRPr="008D06E2" w:rsidDel="0096433F">
        <w:rPr>
          <w:rFonts w:ascii="Verdana" w:hAnsi="Verdana"/>
          <w:sz w:val="18"/>
          <w:szCs w:val="18"/>
        </w:rPr>
        <w:t xml:space="preserve"> </w:t>
      </w:r>
      <w:r>
        <w:rPr>
          <w:rFonts w:ascii="Verdana" w:hAnsi="Verdana"/>
          <w:sz w:val="18"/>
          <w:szCs w:val="18"/>
        </w:rPr>
        <w:t>concludeert</w:t>
      </w:r>
      <w:r w:rsidRPr="008D06E2">
        <w:rPr>
          <w:rFonts w:ascii="Verdana" w:hAnsi="Verdana"/>
          <w:sz w:val="18"/>
          <w:szCs w:val="18"/>
        </w:rPr>
        <w:t xml:space="preserve"> de Commissie dat er geen sprake is van een buitensporig tekort. </w:t>
      </w:r>
      <w:r>
        <w:rPr>
          <w:rFonts w:ascii="Verdana" w:hAnsi="Verdana"/>
          <w:sz w:val="18"/>
          <w:szCs w:val="18"/>
        </w:rPr>
        <w:t xml:space="preserve">Finland kan weliswaar geen beroep doen op relevante factoren maar het tekort is wel het gevolg van een stijging van de defensie-uitgaven die ook aanleiding was </w:t>
      </w:r>
      <w:r w:rsidRPr="00F80C5C">
        <w:rPr>
          <w:rFonts w:ascii="Verdana" w:hAnsi="Verdana"/>
          <w:sz w:val="18"/>
          <w:szCs w:val="18"/>
        </w:rPr>
        <w:t xml:space="preserve">voor </w:t>
      </w:r>
      <w:r>
        <w:rPr>
          <w:rFonts w:ascii="Verdana" w:hAnsi="Verdana"/>
          <w:sz w:val="18"/>
          <w:szCs w:val="18"/>
        </w:rPr>
        <w:t xml:space="preserve">een verzoek tot activatie van </w:t>
      </w:r>
      <w:r w:rsidRPr="00F80C5C">
        <w:rPr>
          <w:rFonts w:ascii="Verdana" w:hAnsi="Verdana"/>
          <w:sz w:val="18"/>
          <w:szCs w:val="18"/>
        </w:rPr>
        <w:t xml:space="preserve">de nationale ontsnappingsclausule (voor aanvullende toelichting: zie de separate bijdrage over de nationale ontsnappingsclausule verderop in deze geannoteerde agenda). </w:t>
      </w:r>
      <w:r>
        <w:rPr>
          <w:rFonts w:ascii="Verdana" w:hAnsi="Verdana"/>
          <w:sz w:val="18"/>
          <w:szCs w:val="18"/>
        </w:rPr>
        <w:t xml:space="preserve">De Commissie stelt dat er wel aanleiding is voor het vaststellen van een buitensporig tekort in Oostenrijk. Het land voldoet niet aan de voorwaarden om een beroep te doen op relevante factoren, er is geen activatie van de nationale ontsnappingsclausule aangevraagd en de defensie-uitgaven zijn stabiel.  </w:t>
      </w:r>
    </w:p>
    <w:p w:rsidR="00C633D5" w:rsidP="00DF63A4" w:rsidRDefault="00C633D5" w14:paraId="51B46CCF" w14:textId="77777777">
      <w:pPr>
        <w:spacing w:after="0" w:line="240" w:lineRule="atLeast"/>
        <w:contextualSpacing/>
        <w:rPr>
          <w:rFonts w:ascii="Verdana" w:hAnsi="Verdana"/>
          <w:sz w:val="18"/>
          <w:szCs w:val="18"/>
        </w:rPr>
      </w:pPr>
    </w:p>
    <w:p w:rsidR="00C633D5" w:rsidP="00DF63A4" w:rsidRDefault="00C633D5" w14:paraId="11BF16C5" w14:textId="77777777">
      <w:pPr>
        <w:spacing w:line="240" w:lineRule="atLeast"/>
        <w:rPr>
          <w:rFonts w:ascii="Verdana" w:hAnsi="Verdana"/>
          <w:sz w:val="18"/>
          <w:szCs w:val="18"/>
        </w:rPr>
      </w:pPr>
      <w:r w:rsidRPr="00201D0D">
        <w:rPr>
          <w:rFonts w:ascii="Verdana" w:hAnsi="Verdana"/>
          <w:sz w:val="18"/>
          <w:szCs w:val="18"/>
        </w:rPr>
        <w:t xml:space="preserve">Naar verwachting zal </w:t>
      </w:r>
      <w:r>
        <w:rPr>
          <w:rFonts w:ascii="Verdana" w:hAnsi="Verdana"/>
          <w:sz w:val="18"/>
          <w:szCs w:val="18"/>
        </w:rPr>
        <w:t xml:space="preserve">de Commissie in </w:t>
      </w:r>
      <w:r w:rsidRPr="00201D0D">
        <w:rPr>
          <w:rFonts w:ascii="Verdana" w:hAnsi="Verdana"/>
          <w:sz w:val="18"/>
          <w:szCs w:val="18"/>
        </w:rPr>
        <w:t xml:space="preserve">de Ecofinraad op 20 juni het onderzoek naar het bestaan van buitensporige tekorten </w:t>
      </w:r>
      <w:r>
        <w:rPr>
          <w:rFonts w:ascii="Verdana" w:hAnsi="Verdana"/>
          <w:sz w:val="18"/>
          <w:szCs w:val="18"/>
        </w:rPr>
        <w:t>toelichten</w:t>
      </w:r>
      <w:r w:rsidRPr="00201D0D">
        <w:rPr>
          <w:rFonts w:ascii="Verdana" w:hAnsi="Verdana"/>
          <w:sz w:val="18"/>
          <w:szCs w:val="18"/>
        </w:rPr>
        <w:t>.</w:t>
      </w:r>
      <w:r>
        <w:rPr>
          <w:rFonts w:ascii="Verdana" w:hAnsi="Verdana"/>
          <w:sz w:val="18"/>
          <w:szCs w:val="18"/>
        </w:rPr>
        <w:t xml:space="preserve"> Daarna</w:t>
      </w:r>
      <w:r w:rsidRPr="00806E8D">
        <w:rPr>
          <w:rFonts w:ascii="Verdana" w:hAnsi="Verdana"/>
          <w:sz w:val="18"/>
          <w:szCs w:val="18"/>
        </w:rPr>
        <w:t xml:space="preserve"> wordt eerst nog advies ingewonnen bij het Economisch en Financieel Comité. </w:t>
      </w:r>
      <w:r>
        <w:rPr>
          <w:rFonts w:ascii="Verdana" w:hAnsi="Verdana"/>
          <w:sz w:val="18"/>
          <w:szCs w:val="18"/>
        </w:rPr>
        <w:t xml:space="preserve">Vervolgens zal de Commissie </w:t>
      </w:r>
      <w:r w:rsidRPr="00806E8D">
        <w:rPr>
          <w:rFonts w:ascii="Verdana" w:hAnsi="Verdana"/>
          <w:sz w:val="18"/>
          <w:szCs w:val="18"/>
        </w:rPr>
        <w:t>een aanbeveling aan de Raad doen om buitensporig tekort vast te stellen in Oostenrijk.</w:t>
      </w:r>
      <w:r>
        <w:rPr>
          <w:rFonts w:ascii="Verdana" w:hAnsi="Verdana"/>
          <w:sz w:val="18"/>
          <w:szCs w:val="18"/>
        </w:rPr>
        <w:t xml:space="preserve"> </w:t>
      </w:r>
      <w:r w:rsidRPr="00806E8D">
        <w:rPr>
          <w:rFonts w:ascii="Verdana" w:hAnsi="Verdana"/>
          <w:sz w:val="18"/>
          <w:szCs w:val="18"/>
        </w:rPr>
        <w:t>Besluitvorming in de Raad volgt dan in juli</w:t>
      </w:r>
      <w:r>
        <w:rPr>
          <w:rFonts w:ascii="Verdana" w:hAnsi="Verdana"/>
          <w:sz w:val="18"/>
          <w:szCs w:val="18"/>
        </w:rPr>
        <w:t>.</w:t>
      </w:r>
      <w:r w:rsidRPr="00201D0D">
        <w:rPr>
          <w:rFonts w:ascii="Verdana" w:hAnsi="Verdana"/>
          <w:sz w:val="18"/>
          <w:szCs w:val="18"/>
        </w:rPr>
        <w:t xml:space="preserve"> </w:t>
      </w:r>
    </w:p>
    <w:p w:rsidRPr="008D06E2" w:rsidR="00C633D5" w:rsidP="00C633D5" w:rsidRDefault="00C633D5" w14:paraId="6AD947AD" w14:textId="77777777">
      <w:pPr>
        <w:spacing w:after="0" w:line="240" w:lineRule="auto"/>
        <w:contextualSpacing/>
        <w:rPr>
          <w:rFonts w:ascii="Verdana" w:hAnsi="Verdana"/>
          <w:sz w:val="18"/>
          <w:szCs w:val="18"/>
        </w:rPr>
      </w:pPr>
    </w:p>
    <w:p w:rsidRPr="008D06E2" w:rsidR="00C633D5" w:rsidP="00C633D5" w:rsidRDefault="00C633D5" w14:paraId="2C9F95F6" w14:textId="77777777">
      <w:pPr>
        <w:spacing w:after="0" w:line="240" w:lineRule="auto"/>
        <w:contextualSpacing/>
        <w:rPr>
          <w:rFonts w:ascii="Verdana" w:hAnsi="Verdana"/>
          <w:sz w:val="18"/>
          <w:szCs w:val="18"/>
          <w:u w:val="single"/>
        </w:rPr>
      </w:pPr>
      <w:r w:rsidRPr="008D06E2">
        <w:rPr>
          <w:rFonts w:ascii="Verdana" w:hAnsi="Verdana"/>
          <w:sz w:val="18"/>
          <w:szCs w:val="18"/>
          <w:u w:val="single"/>
        </w:rPr>
        <w:t xml:space="preserve">Tabel </w:t>
      </w:r>
      <w:r>
        <w:rPr>
          <w:rFonts w:ascii="Verdana" w:hAnsi="Verdana"/>
          <w:sz w:val="18"/>
          <w:szCs w:val="18"/>
          <w:u w:val="single"/>
        </w:rPr>
        <w:t>2</w:t>
      </w:r>
      <w:r w:rsidRPr="008D06E2">
        <w:rPr>
          <w:rFonts w:ascii="Verdana" w:hAnsi="Verdana"/>
          <w:sz w:val="18"/>
          <w:szCs w:val="18"/>
          <w:u w:val="single"/>
        </w:rPr>
        <w:t>: onderzoek juni 2025 naar buitensporig tekort</w:t>
      </w:r>
    </w:p>
    <w:tbl>
      <w:tblPr>
        <w:tblStyle w:val="Tabelraster"/>
        <w:tblW w:w="9634" w:type="dxa"/>
        <w:tblLayout w:type="fixed"/>
        <w:tblLook w:val="04A0" w:firstRow="1" w:lastRow="0" w:firstColumn="1" w:lastColumn="0" w:noHBand="0" w:noVBand="1"/>
      </w:tblPr>
      <w:tblGrid>
        <w:gridCol w:w="1271"/>
        <w:gridCol w:w="992"/>
        <w:gridCol w:w="1276"/>
        <w:gridCol w:w="1276"/>
        <w:gridCol w:w="1701"/>
        <w:gridCol w:w="1559"/>
        <w:gridCol w:w="1559"/>
      </w:tblGrid>
      <w:tr w:rsidRPr="008D06E2" w:rsidR="00C633D5" w:rsidTr="00160D6A" w14:paraId="7D9E1652" w14:textId="77777777">
        <w:trPr>
          <w:trHeight w:val="1167"/>
        </w:trPr>
        <w:tc>
          <w:tcPr>
            <w:tcW w:w="1271" w:type="dxa"/>
          </w:tcPr>
          <w:p w:rsidRPr="008D06E2" w:rsidR="00C633D5" w:rsidP="008657EA" w:rsidRDefault="00C633D5" w14:paraId="0148B73E" w14:textId="77777777">
            <w:pPr>
              <w:rPr>
                <w:rFonts w:ascii="Verdana" w:hAnsi="Verdana"/>
                <w:sz w:val="18"/>
                <w:szCs w:val="18"/>
              </w:rPr>
            </w:pPr>
            <w:r w:rsidRPr="008D06E2">
              <w:rPr>
                <w:rFonts w:ascii="Verdana" w:hAnsi="Verdana"/>
                <w:sz w:val="18"/>
                <w:szCs w:val="18"/>
              </w:rPr>
              <w:t>Lidstaat</w:t>
            </w:r>
          </w:p>
        </w:tc>
        <w:tc>
          <w:tcPr>
            <w:tcW w:w="992" w:type="dxa"/>
          </w:tcPr>
          <w:p w:rsidRPr="008D06E2" w:rsidR="00C633D5" w:rsidP="008657EA" w:rsidRDefault="00C633D5" w14:paraId="5DAA73D4" w14:textId="77777777">
            <w:pPr>
              <w:rPr>
                <w:rFonts w:ascii="Verdana" w:hAnsi="Verdana"/>
                <w:sz w:val="18"/>
                <w:szCs w:val="18"/>
              </w:rPr>
            </w:pPr>
            <w:r w:rsidRPr="008D06E2">
              <w:rPr>
                <w:rFonts w:ascii="Verdana" w:hAnsi="Verdana"/>
                <w:sz w:val="18"/>
                <w:szCs w:val="18"/>
              </w:rPr>
              <w:t>Tekort 2024 (% bbp)</w:t>
            </w:r>
          </w:p>
        </w:tc>
        <w:tc>
          <w:tcPr>
            <w:tcW w:w="1276" w:type="dxa"/>
          </w:tcPr>
          <w:p w:rsidRPr="008D06E2" w:rsidR="00C633D5" w:rsidP="008657EA" w:rsidRDefault="00C633D5" w14:paraId="6F2A6F98" w14:textId="77777777">
            <w:pPr>
              <w:rPr>
                <w:rFonts w:ascii="Verdana" w:hAnsi="Verdana"/>
                <w:sz w:val="18"/>
                <w:szCs w:val="18"/>
              </w:rPr>
            </w:pPr>
            <w:r w:rsidRPr="008D06E2">
              <w:rPr>
                <w:rFonts w:ascii="Verdana" w:hAnsi="Verdana"/>
                <w:sz w:val="18"/>
                <w:szCs w:val="18"/>
              </w:rPr>
              <w:t>Tekort 2025 (%bbp)</w:t>
            </w:r>
          </w:p>
        </w:tc>
        <w:tc>
          <w:tcPr>
            <w:tcW w:w="1276" w:type="dxa"/>
          </w:tcPr>
          <w:p w:rsidRPr="008D06E2" w:rsidR="00C633D5" w:rsidP="008657EA" w:rsidRDefault="00C633D5" w14:paraId="4A080EE2" w14:textId="77777777">
            <w:pPr>
              <w:rPr>
                <w:rFonts w:ascii="Verdana" w:hAnsi="Verdana"/>
                <w:sz w:val="18"/>
                <w:szCs w:val="18"/>
              </w:rPr>
            </w:pPr>
            <w:r w:rsidRPr="008D06E2">
              <w:rPr>
                <w:rFonts w:ascii="Verdana" w:hAnsi="Verdana"/>
                <w:sz w:val="18"/>
                <w:szCs w:val="18"/>
              </w:rPr>
              <w:t>Tekort 2026 (%bbp)</w:t>
            </w:r>
          </w:p>
        </w:tc>
        <w:tc>
          <w:tcPr>
            <w:tcW w:w="1701" w:type="dxa"/>
          </w:tcPr>
          <w:p w:rsidRPr="008D06E2" w:rsidR="00C633D5" w:rsidP="008657EA" w:rsidRDefault="00C633D5" w14:paraId="322FC6E6" w14:textId="77777777">
            <w:pPr>
              <w:rPr>
                <w:rFonts w:ascii="Verdana" w:hAnsi="Verdana"/>
                <w:sz w:val="18"/>
                <w:szCs w:val="18"/>
              </w:rPr>
            </w:pPr>
            <w:r w:rsidRPr="008D06E2">
              <w:rPr>
                <w:rFonts w:ascii="Verdana" w:hAnsi="Verdana"/>
                <w:sz w:val="18"/>
                <w:szCs w:val="18"/>
              </w:rPr>
              <w:t>Criteria overschrijding: beperkt, tijdelijk, uitzonderlijk</w:t>
            </w:r>
          </w:p>
        </w:tc>
        <w:tc>
          <w:tcPr>
            <w:tcW w:w="1559" w:type="dxa"/>
          </w:tcPr>
          <w:p w:rsidRPr="008D06E2" w:rsidR="00C633D5" w:rsidP="008657EA" w:rsidRDefault="00C633D5" w14:paraId="6DEE3460" w14:textId="77777777">
            <w:pPr>
              <w:rPr>
                <w:rFonts w:ascii="Verdana" w:hAnsi="Verdana"/>
                <w:sz w:val="18"/>
                <w:szCs w:val="18"/>
              </w:rPr>
            </w:pPr>
            <w:r w:rsidRPr="008D06E2">
              <w:rPr>
                <w:rFonts w:ascii="Verdana" w:hAnsi="Verdana"/>
                <w:sz w:val="18"/>
                <w:szCs w:val="18"/>
              </w:rPr>
              <w:t>Relevante factoren</w:t>
            </w:r>
          </w:p>
        </w:tc>
        <w:tc>
          <w:tcPr>
            <w:tcW w:w="1559" w:type="dxa"/>
          </w:tcPr>
          <w:p w:rsidRPr="008D06E2" w:rsidR="00C633D5" w:rsidP="008657EA" w:rsidRDefault="00160D6A" w14:paraId="665C4A5F" w14:textId="586A5F1C">
            <w:pPr>
              <w:rPr>
                <w:rFonts w:ascii="Verdana" w:hAnsi="Verdana"/>
                <w:sz w:val="18"/>
                <w:szCs w:val="18"/>
              </w:rPr>
            </w:pPr>
            <w:r>
              <w:rPr>
                <w:rFonts w:ascii="Verdana" w:hAnsi="Verdana"/>
                <w:sz w:val="18"/>
                <w:szCs w:val="18"/>
              </w:rPr>
              <w:t xml:space="preserve">Aanvraag </w:t>
            </w:r>
            <w:proofErr w:type="spellStart"/>
            <w:r>
              <w:rPr>
                <w:rFonts w:ascii="Verdana" w:hAnsi="Verdana"/>
                <w:sz w:val="18"/>
                <w:szCs w:val="18"/>
              </w:rPr>
              <w:t>ontsnappings-clausule</w:t>
            </w:r>
            <w:proofErr w:type="spellEnd"/>
          </w:p>
        </w:tc>
      </w:tr>
      <w:tr w:rsidRPr="008D06E2" w:rsidR="00C633D5" w:rsidTr="00160D6A" w14:paraId="09CF0314" w14:textId="77777777">
        <w:trPr>
          <w:trHeight w:val="167"/>
        </w:trPr>
        <w:tc>
          <w:tcPr>
            <w:tcW w:w="1271" w:type="dxa"/>
          </w:tcPr>
          <w:p w:rsidRPr="008D06E2" w:rsidR="00C633D5" w:rsidP="008657EA" w:rsidRDefault="00C633D5" w14:paraId="34CB32A3" w14:textId="77777777">
            <w:pPr>
              <w:rPr>
                <w:rFonts w:ascii="Verdana" w:hAnsi="Verdana"/>
                <w:sz w:val="18"/>
                <w:szCs w:val="18"/>
              </w:rPr>
            </w:pPr>
            <w:r>
              <w:rPr>
                <w:rFonts w:ascii="Verdana" w:hAnsi="Verdana"/>
                <w:sz w:val="18"/>
                <w:szCs w:val="18"/>
              </w:rPr>
              <w:t xml:space="preserve">Spanje </w:t>
            </w:r>
          </w:p>
        </w:tc>
        <w:tc>
          <w:tcPr>
            <w:tcW w:w="992" w:type="dxa"/>
          </w:tcPr>
          <w:p w:rsidRPr="008D06E2" w:rsidR="00C633D5" w:rsidP="008657EA" w:rsidRDefault="00C633D5" w14:paraId="726271F3" w14:textId="77777777">
            <w:pPr>
              <w:rPr>
                <w:rFonts w:ascii="Verdana" w:hAnsi="Verdana"/>
                <w:sz w:val="18"/>
                <w:szCs w:val="18"/>
              </w:rPr>
            </w:pPr>
            <w:r w:rsidRPr="008D06E2">
              <w:rPr>
                <w:rFonts w:ascii="Verdana" w:hAnsi="Verdana"/>
                <w:sz w:val="18"/>
                <w:szCs w:val="18"/>
              </w:rPr>
              <w:t>-</w:t>
            </w:r>
            <w:r>
              <w:rPr>
                <w:rFonts w:ascii="Verdana" w:hAnsi="Verdana"/>
                <w:sz w:val="18"/>
                <w:szCs w:val="18"/>
              </w:rPr>
              <w:t>3,2</w:t>
            </w:r>
          </w:p>
        </w:tc>
        <w:tc>
          <w:tcPr>
            <w:tcW w:w="1276" w:type="dxa"/>
          </w:tcPr>
          <w:p w:rsidRPr="008D06E2" w:rsidR="00C633D5" w:rsidP="008657EA" w:rsidRDefault="00C633D5" w14:paraId="45BA7635" w14:textId="77777777">
            <w:pPr>
              <w:rPr>
                <w:rFonts w:ascii="Verdana" w:hAnsi="Verdana"/>
                <w:sz w:val="18"/>
                <w:szCs w:val="18"/>
              </w:rPr>
            </w:pPr>
            <w:r w:rsidRPr="008D06E2">
              <w:rPr>
                <w:rFonts w:ascii="Verdana" w:hAnsi="Verdana"/>
                <w:sz w:val="18"/>
                <w:szCs w:val="18"/>
              </w:rPr>
              <w:t>-</w:t>
            </w:r>
            <w:r>
              <w:rPr>
                <w:rFonts w:ascii="Verdana" w:hAnsi="Verdana"/>
                <w:sz w:val="18"/>
                <w:szCs w:val="18"/>
              </w:rPr>
              <w:t>2,8</w:t>
            </w:r>
          </w:p>
        </w:tc>
        <w:tc>
          <w:tcPr>
            <w:tcW w:w="1276" w:type="dxa"/>
          </w:tcPr>
          <w:p w:rsidRPr="008D06E2" w:rsidR="00C633D5" w:rsidP="008657EA" w:rsidRDefault="00C633D5" w14:paraId="1D559DB5" w14:textId="77777777">
            <w:pPr>
              <w:rPr>
                <w:rFonts w:ascii="Verdana" w:hAnsi="Verdana"/>
                <w:sz w:val="18"/>
                <w:szCs w:val="18"/>
              </w:rPr>
            </w:pPr>
            <w:r w:rsidRPr="008D06E2">
              <w:rPr>
                <w:rFonts w:ascii="Verdana" w:hAnsi="Verdana"/>
                <w:sz w:val="18"/>
                <w:szCs w:val="18"/>
              </w:rPr>
              <w:t>-</w:t>
            </w:r>
            <w:r>
              <w:rPr>
                <w:rFonts w:ascii="Verdana" w:hAnsi="Verdana"/>
                <w:sz w:val="18"/>
                <w:szCs w:val="18"/>
              </w:rPr>
              <w:t>2,5</w:t>
            </w:r>
          </w:p>
        </w:tc>
        <w:tc>
          <w:tcPr>
            <w:tcW w:w="1701" w:type="dxa"/>
          </w:tcPr>
          <w:p w:rsidRPr="008D06E2" w:rsidR="00C633D5" w:rsidP="008657EA" w:rsidRDefault="00C633D5" w14:paraId="788FE30C" w14:textId="77777777">
            <w:pPr>
              <w:rPr>
                <w:rFonts w:ascii="Verdana" w:hAnsi="Verdana"/>
                <w:sz w:val="18"/>
                <w:szCs w:val="18"/>
              </w:rPr>
            </w:pPr>
            <w:r>
              <w:rPr>
                <w:rFonts w:ascii="Verdana" w:hAnsi="Verdana"/>
                <w:sz w:val="18"/>
                <w:szCs w:val="18"/>
              </w:rPr>
              <w:t>Ja, tijdelijk</w:t>
            </w:r>
          </w:p>
        </w:tc>
        <w:tc>
          <w:tcPr>
            <w:tcW w:w="1559" w:type="dxa"/>
          </w:tcPr>
          <w:p w:rsidRPr="008D06E2" w:rsidR="00C633D5" w:rsidP="008657EA" w:rsidRDefault="00C633D5" w14:paraId="43062956" w14:textId="77777777">
            <w:pPr>
              <w:rPr>
                <w:rFonts w:ascii="Verdana" w:hAnsi="Verdana"/>
                <w:sz w:val="18"/>
                <w:szCs w:val="18"/>
              </w:rPr>
            </w:pPr>
            <w:r>
              <w:rPr>
                <w:rFonts w:ascii="Verdana" w:hAnsi="Verdana"/>
                <w:sz w:val="18"/>
                <w:szCs w:val="18"/>
              </w:rPr>
              <w:t xml:space="preserve">Overstroming </w:t>
            </w:r>
          </w:p>
        </w:tc>
        <w:tc>
          <w:tcPr>
            <w:tcW w:w="1559" w:type="dxa"/>
          </w:tcPr>
          <w:p w:rsidR="00C633D5" w:rsidP="008657EA" w:rsidRDefault="00C633D5" w14:paraId="5E6CAA52" w14:textId="77777777">
            <w:pPr>
              <w:rPr>
                <w:rFonts w:ascii="Verdana" w:hAnsi="Verdana"/>
                <w:sz w:val="18"/>
                <w:szCs w:val="18"/>
              </w:rPr>
            </w:pPr>
            <w:r>
              <w:rPr>
                <w:rFonts w:ascii="Verdana" w:hAnsi="Verdana"/>
                <w:sz w:val="18"/>
                <w:szCs w:val="18"/>
              </w:rPr>
              <w:t>Nee</w:t>
            </w:r>
          </w:p>
        </w:tc>
      </w:tr>
      <w:tr w:rsidRPr="008D06E2" w:rsidR="00C633D5" w:rsidTr="00160D6A" w14:paraId="65848CF7" w14:textId="77777777">
        <w:trPr>
          <w:trHeight w:val="167"/>
        </w:trPr>
        <w:tc>
          <w:tcPr>
            <w:tcW w:w="1271" w:type="dxa"/>
          </w:tcPr>
          <w:p w:rsidR="00C633D5" w:rsidP="008657EA" w:rsidRDefault="00C633D5" w14:paraId="65B5D055" w14:textId="77777777">
            <w:pPr>
              <w:rPr>
                <w:rFonts w:ascii="Verdana" w:hAnsi="Verdana"/>
                <w:sz w:val="18"/>
                <w:szCs w:val="18"/>
              </w:rPr>
            </w:pPr>
            <w:r>
              <w:rPr>
                <w:rFonts w:ascii="Verdana" w:hAnsi="Verdana"/>
                <w:sz w:val="18"/>
                <w:szCs w:val="18"/>
              </w:rPr>
              <w:t>Letland</w:t>
            </w:r>
          </w:p>
        </w:tc>
        <w:tc>
          <w:tcPr>
            <w:tcW w:w="992" w:type="dxa"/>
          </w:tcPr>
          <w:p w:rsidRPr="008D06E2" w:rsidR="00C633D5" w:rsidP="008657EA" w:rsidRDefault="00C633D5" w14:paraId="0B064451" w14:textId="77777777">
            <w:pPr>
              <w:rPr>
                <w:rFonts w:ascii="Verdana" w:hAnsi="Verdana"/>
                <w:sz w:val="18"/>
                <w:szCs w:val="18"/>
              </w:rPr>
            </w:pPr>
            <w:r>
              <w:rPr>
                <w:rFonts w:ascii="Verdana" w:hAnsi="Verdana"/>
                <w:sz w:val="18"/>
                <w:szCs w:val="18"/>
              </w:rPr>
              <w:t>-1,8</w:t>
            </w:r>
          </w:p>
        </w:tc>
        <w:tc>
          <w:tcPr>
            <w:tcW w:w="1276" w:type="dxa"/>
          </w:tcPr>
          <w:p w:rsidRPr="008D06E2" w:rsidR="00C633D5" w:rsidP="008657EA" w:rsidRDefault="00C633D5" w14:paraId="0A779F6F" w14:textId="77777777">
            <w:pPr>
              <w:rPr>
                <w:rFonts w:ascii="Verdana" w:hAnsi="Verdana"/>
                <w:sz w:val="18"/>
                <w:szCs w:val="18"/>
              </w:rPr>
            </w:pPr>
            <w:r>
              <w:rPr>
                <w:rFonts w:ascii="Verdana" w:hAnsi="Verdana"/>
                <w:sz w:val="18"/>
                <w:szCs w:val="18"/>
              </w:rPr>
              <w:t>-3,1</w:t>
            </w:r>
          </w:p>
        </w:tc>
        <w:tc>
          <w:tcPr>
            <w:tcW w:w="1276" w:type="dxa"/>
          </w:tcPr>
          <w:p w:rsidRPr="008D06E2" w:rsidR="00C633D5" w:rsidP="008657EA" w:rsidRDefault="00C633D5" w14:paraId="2A2C2E28" w14:textId="77777777">
            <w:pPr>
              <w:rPr>
                <w:rFonts w:ascii="Verdana" w:hAnsi="Verdana"/>
                <w:sz w:val="18"/>
                <w:szCs w:val="18"/>
              </w:rPr>
            </w:pPr>
            <w:r>
              <w:rPr>
                <w:rFonts w:ascii="Verdana" w:hAnsi="Verdana"/>
                <w:sz w:val="18"/>
                <w:szCs w:val="18"/>
              </w:rPr>
              <w:t>-3,1</w:t>
            </w:r>
          </w:p>
        </w:tc>
        <w:tc>
          <w:tcPr>
            <w:tcW w:w="1701" w:type="dxa"/>
          </w:tcPr>
          <w:p w:rsidRPr="008D06E2" w:rsidR="00C633D5" w:rsidP="008657EA" w:rsidRDefault="00C633D5" w14:paraId="7BF37D49" w14:textId="77777777">
            <w:pPr>
              <w:rPr>
                <w:rFonts w:ascii="Verdana" w:hAnsi="Verdana"/>
                <w:sz w:val="18"/>
                <w:szCs w:val="18"/>
              </w:rPr>
            </w:pPr>
            <w:r>
              <w:rPr>
                <w:rFonts w:ascii="Verdana" w:hAnsi="Verdana"/>
                <w:sz w:val="18"/>
                <w:szCs w:val="18"/>
              </w:rPr>
              <w:t>Ja, beperkt</w:t>
            </w:r>
          </w:p>
        </w:tc>
        <w:tc>
          <w:tcPr>
            <w:tcW w:w="1559" w:type="dxa"/>
          </w:tcPr>
          <w:p w:rsidRPr="008D06E2" w:rsidR="00C633D5" w:rsidP="008657EA" w:rsidRDefault="00C633D5" w14:paraId="471A41AB" w14:textId="77777777">
            <w:pPr>
              <w:rPr>
                <w:rFonts w:ascii="Verdana" w:hAnsi="Verdana"/>
                <w:sz w:val="18"/>
                <w:szCs w:val="18"/>
              </w:rPr>
            </w:pPr>
          </w:p>
        </w:tc>
        <w:tc>
          <w:tcPr>
            <w:tcW w:w="1559" w:type="dxa"/>
          </w:tcPr>
          <w:p w:rsidR="00C633D5" w:rsidP="008657EA" w:rsidRDefault="00C633D5" w14:paraId="5556298B" w14:textId="77777777">
            <w:pPr>
              <w:rPr>
                <w:rFonts w:ascii="Verdana" w:hAnsi="Verdana"/>
                <w:sz w:val="18"/>
                <w:szCs w:val="18"/>
              </w:rPr>
            </w:pPr>
            <w:r>
              <w:rPr>
                <w:rFonts w:ascii="Verdana" w:hAnsi="Verdana"/>
                <w:sz w:val="18"/>
                <w:szCs w:val="18"/>
              </w:rPr>
              <w:t>Ja</w:t>
            </w:r>
          </w:p>
        </w:tc>
      </w:tr>
      <w:tr w:rsidRPr="008D06E2" w:rsidR="00C633D5" w:rsidTr="00160D6A" w14:paraId="2EC9B0B3" w14:textId="77777777">
        <w:trPr>
          <w:trHeight w:val="662"/>
        </w:trPr>
        <w:tc>
          <w:tcPr>
            <w:tcW w:w="1271" w:type="dxa"/>
          </w:tcPr>
          <w:p w:rsidRPr="008D06E2" w:rsidR="00C633D5" w:rsidP="008657EA" w:rsidRDefault="00C633D5" w14:paraId="2920C6E9" w14:textId="77777777">
            <w:pPr>
              <w:rPr>
                <w:rFonts w:ascii="Verdana" w:hAnsi="Verdana"/>
                <w:sz w:val="18"/>
                <w:szCs w:val="18"/>
              </w:rPr>
            </w:pPr>
            <w:r w:rsidRPr="008D06E2">
              <w:rPr>
                <w:rFonts w:ascii="Verdana" w:hAnsi="Verdana"/>
                <w:sz w:val="18"/>
                <w:szCs w:val="18"/>
              </w:rPr>
              <w:t>Finland</w:t>
            </w:r>
          </w:p>
        </w:tc>
        <w:tc>
          <w:tcPr>
            <w:tcW w:w="992" w:type="dxa"/>
          </w:tcPr>
          <w:p w:rsidRPr="008D06E2" w:rsidR="00C633D5" w:rsidP="008657EA" w:rsidRDefault="00C633D5" w14:paraId="697B90B0" w14:textId="77777777">
            <w:pPr>
              <w:rPr>
                <w:rFonts w:ascii="Verdana" w:hAnsi="Verdana"/>
                <w:sz w:val="18"/>
                <w:szCs w:val="18"/>
              </w:rPr>
            </w:pPr>
            <w:r w:rsidRPr="008D06E2">
              <w:rPr>
                <w:rFonts w:ascii="Verdana" w:hAnsi="Verdana"/>
                <w:sz w:val="18"/>
                <w:szCs w:val="18"/>
              </w:rPr>
              <w:t>-4,4</w:t>
            </w:r>
          </w:p>
        </w:tc>
        <w:tc>
          <w:tcPr>
            <w:tcW w:w="1276" w:type="dxa"/>
          </w:tcPr>
          <w:p w:rsidRPr="008D06E2" w:rsidR="00C633D5" w:rsidP="008657EA" w:rsidRDefault="00C633D5" w14:paraId="446AAB0B" w14:textId="77777777">
            <w:pPr>
              <w:rPr>
                <w:rFonts w:ascii="Verdana" w:hAnsi="Verdana"/>
                <w:sz w:val="18"/>
                <w:szCs w:val="18"/>
              </w:rPr>
            </w:pPr>
            <w:r w:rsidRPr="008D06E2">
              <w:rPr>
                <w:rFonts w:ascii="Verdana" w:hAnsi="Verdana"/>
                <w:sz w:val="18"/>
                <w:szCs w:val="18"/>
              </w:rPr>
              <w:t>-3,7</w:t>
            </w:r>
          </w:p>
        </w:tc>
        <w:tc>
          <w:tcPr>
            <w:tcW w:w="1276" w:type="dxa"/>
          </w:tcPr>
          <w:p w:rsidRPr="008D06E2" w:rsidR="00C633D5" w:rsidP="008657EA" w:rsidRDefault="00C633D5" w14:paraId="4B30AF8B" w14:textId="77777777">
            <w:pPr>
              <w:rPr>
                <w:rFonts w:ascii="Verdana" w:hAnsi="Verdana"/>
                <w:sz w:val="18"/>
                <w:szCs w:val="18"/>
              </w:rPr>
            </w:pPr>
            <w:r w:rsidRPr="008D06E2">
              <w:rPr>
                <w:rFonts w:ascii="Verdana" w:hAnsi="Verdana"/>
                <w:sz w:val="18"/>
                <w:szCs w:val="18"/>
              </w:rPr>
              <w:t>-3,4</w:t>
            </w:r>
          </w:p>
        </w:tc>
        <w:tc>
          <w:tcPr>
            <w:tcW w:w="1701" w:type="dxa"/>
          </w:tcPr>
          <w:p w:rsidRPr="008D06E2" w:rsidR="00C633D5" w:rsidP="008657EA" w:rsidRDefault="00C633D5" w14:paraId="25CB4C94" w14:textId="77777777">
            <w:pPr>
              <w:rPr>
                <w:rFonts w:ascii="Verdana" w:hAnsi="Verdana"/>
                <w:sz w:val="18"/>
                <w:szCs w:val="18"/>
              </w:rPr>
            </w:pPr>
            <w:r w:rsidRPr="008D06E2">
              <w:rPr>
                <w:rFonts w:ascii="Verdana" w:hAnsi="Verdana"/>
                <w:sz w:val="18"/>
                <w:szCs w:val="18"/>
              </w:rPr>
              <w:t>Nee</w:t>
            </w:r>
          </w:p>
        </w:tc>
        <w:tc>
          <w:tcPr>
            <w:tcW w:w="1559" w:type="dxa"/>
          </w:tcPr>
          <w:p w:rsidRPr="008D06E2" w:rsidR="00C633D5" w:rsidP="008657EA" w:rsidRDefault="004D62D0" w14:paraId="03457E85" w14:textId="2FC5C0F9">
            <w:pPr>
              <w:rPr>
                <w:rFonts w:ascii="Verdana" w:hAnsi="Verdana"/>
                <w:sz w:val="18"/>
                <w:szCs w:val="18"/>
              </w:rPr>
            </w:pPr>
            <w:r w:rsidRPr="008D06E2">
              <w:rPr>
                <w:rFonts w:ascii="Verdana" w:hAnsi="Verdana"/>
                <w:sz w:val="18"/>
                <w:szCs w:val="18"/>
              </w:rPr>
              <w:t>D</w:t>
            </w:r>
            <w:r w:rsidRPr="008D06E2" w:rsidR="00C633D5">
              <w:rPr>
                <w:rFonts w:ascii="Verdana" w:hAnsi="Verdana"/>
                <w:sz w:val="18"/>
                <w:szCs w:val="18"/>
              </w:rPr>
              <w:t>efensie financiering</w:t>
            </w:r>
          </w:p>
        </w:tc>
        <w:tc>
          <w:tcPr>
            <w:tcW w:w="1559" w:type="dxa"/>
          </w:tcPr>
          <w:p w:rsidRPr="008D06E2" w:rsidR="00C633D5" w:rsidP="008657EA" w:rsidRDefault="00C633D5" w14:paraId="1C136300" w14:textId="77777777">
            <w:pPr>
              <w:rPr>
                <w:rFonts w:ascii="Verdana" w:hAnsi="Verdana"/>
                <w:sz w:val="18"/>
                <w:szCs w:val="18"/>
              </w:rPr>
            </w:pPr>
            <w:r>
              <w:rPr>
                <w:rFonts w:ascii="Verdana" w:hAnsi="Verdana"/>
                <w:sz w:val="18"/>
                <w:szCs w:val="18"/>
              </w:rPr>
              <w:t>Ja</w:t>
            </w:r>
          </w:p>
        </w:tc>
      </w:tr>
      <w:tr w:rsidRPr="008D06E2" w:rsidR="00C633D5" w:rsidTr="00160D6A" w14:paraId="770ACBC3" w14:textId="77777777">
        <w:trPr>
          <w:trHeight w:val="158"/>
        </w:trPr>
        <w:tc>
          <w:tcPr>
            <w:tcW w:w="1271" w:type="dxa"/>
          </w:tcPr>
          <w:p w:rsidRPr="008D06E2" w:rsidR="00C633D5" w:rsidP="008657EA" w:rsidRDefault="00C633D5" w14:paraId="0A8C8844" w14:textId="77777777">
            <w:pPr>
              <w:rPr>
                <w:rFonts w:ascii="Verdana" w:hAnsi="Verdana"/>
                <w:sz w:val="18"/>
                <w:szCs w:val="18"/>
              </w:rPr>
            </w:pPr>
            <w:r w:rsidRPr="008D06E2">
              <w:rPr>
                <w:rFonts w:ascii="Verdana" w:hAnsi="Verdana"/>
                <w:sz w:val="18"/>
                <w:szCs w:val="18"/>
              </w:rPr>
              <w:t xml:space="preserve">Oostenrijk </w:t>
            </w:r>
          </w:p>
        </w:tc>
        <w:tc>
          <w:tcPr>
            <w:tcW w:w="992" w:type="dxa"/>
          </w:tcPr>
          <w:p w:rsidRPr="008D06E2" w:rsidR="00C633D5" w:rsidP="008657EA" w:rsidRDefault="00C633D5" w14:paraId="4C5445E2" w14:textId="77777777">
            <w:pPr>
              <w:rPr>
                <w:rFonts w:ascii="Verdana" w:hAnsi="Verdana"/>
                <w:sz w:val="18"/>
                <w:szCs w:val="18"/>
              </w:rPr>
            </w:pPr>
            <w:r w:rsidRPr="008D06E2">
              <w:rPr>
                <w:rFonts w:ascii="Verdana" w:hAnsi="Verdana"/>
                <w:sz w:val="18"/>
                <w:szCs w:val="18"/>
              </w:rPr>
              <w:t>-4,7</w:t>
            </w:r>
          </w:p>
        </w:tc>
        <w:tc>
          <w:tcPr>
            <w:tcW w:w="1276" w:type="dxa"/>
          </w:tcPr>
          <w:p w:rsidRPr="008D06E2" w:rsidR="00C633D5" w:rsidP="008657EA" w:rsidRDefault="00C633D5" w14:paraId="5809DD3F" w14:textId="77777777">
            <w:pPr>
              <w:rPr>
                <w:rFonts w:ascii="Verdana" w:hAnsi="Verdana"/>
                <w:sz w:val="18"/>
                <w:szCs w:val="18"/>
              </w:rPr>
            </w:pPr>
            <w:r w:rsidRPr="008D06E2">
              <w:rPr>
                <w:rFonts w:ascii="Verdana" w:hAnsi="Verdana"/>
                <w:sz w:val="18"/>
                <w:szCs w:val="18"/>
              </w:rPr>
              <w:t>-4,4</w:t>
            </w:r>
          </w:p>
        </w:tc>
        <w:tc>
          <w:tcPr>
            <w:tcW w:w="1276" w:type="dxa"/>
          </w:tcPr>
          <w:p w:rsidRPr="008D06E2" w:rsidR="00C633D5" w:rsidP="008657EA" w:rsidRDefault="00C633D5" w14:paraId="0D79942E" w14:textId="77777777">
            <w:pPr>
              <w:rPr>
                <w:rFonts w:ascii="Verdana" w:hAnsi="Verdana"/>
                <w:sz w:val="18"/>
                <w:szCs w:val="18"/>
              </w:rPr>
            </w:pPr>
            <w:r w:rsidRPr="008D06E2">
              <w:rPr>
                <w:rFonts w:ascii="Verdana" w:hAnsi="Verdana"/>
                <w:sz w:val="18"/>
                <w:szCs w:val="18"/>
              </w:rPr>
              <w:t>-4,2</w:t>
            </w:r>
          </w:p>
        </w:tc>
        <w:tc>
          <w:tcPr>
            <w:tcW w:w="1701" w:type="dxa"/>
          </w:tcPr>
          <w:p w:rsidRPr="008D06E2" w:rsidR="00C633D5" w:rsidP="008657EA" w:rsidRDefault="00C633D5" w14:paraId="0C365778" w14:textId="77777777">
            <w:pPr>
              <w:rPr>
                <w:rFonts w:ascii="Verdana" w:hAnsi="Verdana"/>
                <w:sz w:val="18"/>
                <w:szCs w:val="18"/>
              </w:rPr>
            </w:pPr>
            <w:r w:rsidRPr="008D06E2">
              <w:rPr>
                <w:rFonts w:ascii="Verdana" w:hAnsi="Verdana"/>
                <w:sz w:val="18"/>
                <w:szCs w:val="18"/>
              </w:rPr>
              <w:t>Nee</w:t>
            </w:r>
          </w:p>
        </w:tc>
        <w:tc>
          <w:tcPr>
            <w:tcW w:w="1559" w:type="dxa"/>
          </w:tcPr>
          <w:p w:rsidRPr="008D06E2" w:rsidR="00C633D5" w:rsidP="008657EA" w:rsidRDefault="00C633D5" w14:paraId="1BC65742" w14:textId="77777777">
            <w:pPr>
              <w:rPr>
                <w:rFonts w:ascii="Verdana" w:hAnsi="Verdana"/>
                <w:sz w:val="18"/>
                <w:szCs w:val="18"/>
              </w:rPr>
            </w:pPr>
          </w:p>
        </w:tc>
        <w:tc>
          <w:tcPr>
            <w:tcW w:w="1559" w:type="dxa"/>
          </w:tcPr>
          <w:p w:rsidR="00C633D5" w:rsidP="008657EA" w:rsidRDefault="00C633D5" w14:paraId="230E4F74" w14:textId="77777777">
            <w:pPr>
              <w:rPr>
                <w:rFonts w:ascii="Verdana" w:hAnsi="Verdana"/>
                <w:sz w:val="18"/>
                <w:szCs w:val="18"/>
              </w:rPr>
            </w:pPr>
            <w:proofErr w:type="gramStart"/>
            <w:r>
              <w:rPr>
                <w:rFonts w:ascii="Verdana" w:hAnsi="Verdana"/>
                <w:sz w:val="18"/>
                <w:szCs w:val="18"/>
              </w:rPr>
              <w:t>nee</w:t>
            </w:r>
            <w:proofErr w:type="gramEnd"/>
          </w:p>
        </w:tc>
      </w:tr>
    </w:tbl>
    <w:p w:rsidRPr="008D06E2" w:rsidR="00C633D5" w:rsidP="00C633D5" w:rsidRDefault="00C633D5" w14:paraId="7437E1A3" w14:textId="77777777">
      <w:pPr>
        <w:spacing w:after="0" w:line="240" w:lineRule="auto"/>
        <w:contextualSpacing/>
        <w:rPr>
          <w:rFonts w:ascii="Verdana" w:hAnsi="Verdana"/>
          <w:sz w:val="18"/>
          <w:szCs w:val="18"/>
          <w:u w:val="single"/>
        </w:rPr>
      </w:pPr>
    </w:p>
    <w:p w:rsidR="00C633D5" w:rsidP="00DF63A4" w:rsidRDefault="00C633D5" w14:paraId="1ED81657" w14:textId="77777777">
      <w:pPr>
        <w:spacing w:line="240" w:lineRule="atLeast"/>
        <w:rPr>
          <w:rFonts w:ascii="Verdana" w:hAnsi="Verdana"/>
          <w:sz w:val="18"/>
          <w:szCs w:val="18"/>
        </w:rPr>
      </w:pPr>
      <w:r w:rsidRPr="008D06E2">
        <w:rPr>
          <w:rFonts w:ascii="Verdana" w:hAnsi="Verdana"/>
          <w:sz w:val="18"/>
          <w:szCs w:val="18"/>
        </w:rPr>
        <w:t>Daarnaast</w:t>
      </w:r>
      <w:r w:rsidRPr="008D06E2" w:rsidDel="00FF7CDC">
        <w:rPr>
          <w:rFonts w:ascii="Verdana" w:hAnsi="Verdana"/>
          <w:sz w:val="18"/>
          <w:szCs w:val="18"/>
        </w:rPr>
        <w:t xml:space="preserve"> heeft </w:t>
      </w:r>
      <w:r w:rsidRPr="008D06E2">
        <w:rPr>
          <w:rFonts w:ascii="Verdana" w:hAnsi="Verdana"/>
          <w:sz w:val="18"/>
          <w:szCs w:val="18"/>
        </w:rPr>
        <w:t xml:space="preserve">de Commissie onderzocht of lidstaten voor wie eerder al </w:t>
      </w:r>
      <w:r>
        <w:rPr>
          <w:rFonts w:ascii="Verdana" w:hAnsi="Verdana"/>
          <w:sz w:val="18"/>
          <w:szCs w:val="18"/>
        </w:rPr>
        <w:t xml:space="preserve">door de Raad </w:t>
      </w:r>
      <w:r w:rsidRPr="008D06E2">
        <w:rPr>
          <w:rFonts w:ascii="Verdana" w:hAnsi="Verdana"/>
          <w:sz w:val="18"/>
          <w:szCs w:val="18"/>
        </w:rPr>
        <w:t>een buitensporig tekort was vastgesteld</w:t>
      </w:r>
      <w:r w:rsidRPr="00482E79">
        <w:rPr>
          <w:rFonts w:ascii="Verdana" w:hAnsi="Verdana"/>
          <w:sz w:val="18"/>
          <w:szCs w:val="18"/>
        </w:rPr>
        <w:t xml:space="preserve"> </w:t>
      </w:r>
      <w:r w:rsidRPr="008D06E2">
        <w:rPr>
          <w:rFonts w:ascii="Verdana" w:hAnsi="Verdana"/>
          <w:sz w:val="18"/>
          <w:szCs w:val="18"/>
        </w:rPr>
        <w:t xml:space="preserve">effectief gevolg hebben gegeven aan de aanbevelingen om </w:t>
      </w:r>
      <w:r>
        <w:rPr>
          <w:rFonts w:ascii="Verdana" w:hAnsi="Verdana"/>
          <w:sz w:val="18"/>
          <w:szCs w:val="18"/>
        </w:rPr>
        <w:t xml:space="preserve">aan </w:t>
      </w:r>
      <w:r w:rsidRPr="008D06E2">
        <w:rPr>
          <w:rFonts w:ascii="Verdana" w:hAnsi="Verdana"/>
          <w:sz w:val="18"/>
          <w:szCs w:val="18"/>
        </w:rPr>
        <w:t xml:space="preserve">deze tekorten </w:t>
      </w:r>
      <w:r>
        <w:rPr>
          <w:rFonts w:ascii="Verdana" w:hAnsi="Verdana"/>
          <w:sz w:val="18"/>
          <w:szCs w:val="18"/>
        </w:rPr>
        <w:t>een einde te maken. Dit betreft</w:t>
      </w:r>
      <w:r w:rsidRPr="008D06E2">
        <w:rPr>
          <w:rFonts w:ascii="Verdana" w:hAnsi="Verdana"/>
          <w:sz w:val="18"/>
          <w:szCs w:val="18"/>
        </w:rPr>
        <w:t xml:space="preserve"> België, Frankrijk, Italië, Hongarije, Malta, Polen, Roemenië en Slowakije. </w:t>
      </w:r>
      <w:r>
        <w:rPr>
          <w:rFonts w:ascii="Verdana" w:hAnsi="Verdana"/>
          <w:sz w:val="18"/>
          <w:szCs w:val="18"/>
        </w:rPr>
        <w:t xml:space="preserve">Deze aanbevelingen werden in januari 2025 door de Raad vastgesteld en bevatten een correctief uitgavenpad. </w:t>
      </w:r>
      <w:r w:rsidRPr="008D06E2">
        <w:rPr>
          <w:rFonts w:ascii="Verdana" w:hAnsi="Verdana"/>
          <w:sz w:val="18"/>
          <w:szCs w:val="18"/>
        </w:rPr>
        <w:t>De Commissie concludeert dat dit niet het geval is voor Roemenië</w:t>
      </w:r>
      <w:r>
        <w:rPr>
          <w:rFonts w:ascii="Verdana" w:hAnsi="Verdana"/>
          <w:sz w:val="18"/>
          <w:szCs w:val="18"/>
        </w:rPr>
        <w:t xml:space="preserve"> </w:t>
      </w:r>
      <w:r w:rsidRPr="00F80C5C">
        <w:rPr>
          <w:rFonts w:ascii="Verdana" w:hAnsi="Verdana"/>
          <w:sz w:val="18"/>
          <w:szCs w:val="18"/>
        </w:rPr>
        <w:t>aangezien de gecumuleerde groei van de netto-overheidsuitgaven in 2024 en 2025 (26,4%) ruim boven het door de Raad aanbevolen maximum van 20,2% ligt. Daarnaast is de daling van het overheidstekort in 2025 voornamelijk toe te schrijven aan tijdelijke maatregelen, terwijl structurele hervormingen, zoals de herziening van het belastingstelsel, niet tijdig zijn ingevoerd.</w:t>
      </w:r>
      <w:r>
        <w:rPr>
          <w:rFonts w:ascii="Verdana" w:hAnsi="Verdana"/>
          <w:sz w:val="18"/>
          <w:szCs w:val="18"/>
        </w:rPr>
        <w:t xml:space="preserve"> Daarom stelt de Commissie aan de Raad voor om een gebrek aan effectieve opvolging vast te stellen.</w:t>
      </w:r>
      <w:r w:rsidRPr="008D06E2">
        <w:rPr>
          <w:rFonts w:ascii="Verdana" w:hAnsi="Verdana"/>
          <w:sz w:val="18"/>
          <w:szCs w:val="18"/>
        </w:rPr>
        <w:t xml:space="preserve"> </w:t>
      </w:r>
    </w:p>
    <w:p w:rsidRPr="00DB53D4" w:rsidR="00C633D5" w:rsidP="00DF63A4" w:rsidRDefault="00C633D5" w14:paraId="62DDBF47" w14:textId="4BE6C87A">
      <w:pPr>
        <w:spacing w:line="240" w:lineRule="atLeast"/>
        <w:rPr>
          <w:rFonts w:ascii="Verdana" w:hAnsi="Verdana" w:eastAsia="Verdana" w:cs="Verdana"/>
          <w:sz w:val="18"/>
          <w:szCs w:val="18"/>
        </w:rPr>
      </w:pPr>
      <w:r w:rsidRPr="00DB53D4">
        <w:rPr>
          <w:rFonts w:ascii="Verdana" w:hAnsi="Verdana" w:eastAsia="Verdana" w:cs="Verdana"/>
          <w:sz w:val="18"/>
          <w:szCs w:val="18"/>
        </w:rPr>
        <w:t xml:space="preserve">Nederland kan zich vinden het </w:t>
      </w:r>
      <w:r>
        <w:rPr>
          <w:rFonts w:ascii="Verdana" w:hAnsi="Verdana" w:eastAsia="Verdana" w:cs="Verdana"/>
          <w:sz w:val="18"/>
          <w:szCs w:val="18"/>
        </w:rPr>
        <w:t xml:space="preserve">oordeel over het </w:t>
      </w:r>
      <w:r w:rsidRPr="00DB53D4">
        <w:rPr>
          <w:rFonts w:ascii="Verdana" w:hAnsi="Verdana" w:eastAsia="Verdana" w:cs="Verdana"/>
          <w:sz w:val="18"/>
          <w:szCs w:val="18"/>
        </w:rPr>
        <w:t>ontbreken van effectie</w:t>
      </w:r>
      <w:r w:rsidR="004D62D0">
        <w:rPr>
          <w:rFonts w:ascii="Verdana" w:hAnsi="Verdana" w:eastAsia="Verdana" w:cs="Verdana"/>
          <w:sz w:val="18"/>
          <w:szCs w:val="18"/>
        </w:rPr>
        <w:t>ve</w:t>
      </w:r>
      <w:r w:rsidRPr="00DB53D4">
        <w:rPr>
          <w:rFonts w:ascii="Verdana" w:hAnsi="Verdana" w:eastAsia="Verdana" w:cs="Verdana"/>
          <w:sz w:val="18"/>
          <w:szCs w:val="18"/>
        </w:rPr>
        <w:t xml:space="preserve"> </w:t>
      </w:r>
      <w:r w:rsidR="004D62D0">
        <w:rPr>
          <w:rFonts w:ascii="Verdana" w:hAnsi="Verdana" w:eastAsia="Verdana" w:cs="Verdana"/>
          <w:sz w:val="18"/>
          <w:szCs w:val="18"/>
        </w:rPr>
        <w:t>opvolging</w:t>
      </w:r>
      <w:r w:rsidRPr="00DB53D4">
        <w:rPr>
          <w:rFonts w:ascii="Verdana" w:hAnsi="Verdana" w:eastAsia="Verdana" w:cs="Verdana"/>
          <w:sz w:val="18"/>
          <w:szCs w:val="18"/>
        </w:rPr>
        <w:t xml:space="preserve"> door Roemenië </w:t>
      </w:r>
      <w:r>
        <w:rPr>
          <w:rFonts w:ascii="Verdana" w:hAnsi="Verdana" w:eastAsia="Verdana" w:cs="Verdana"/>
          <w:sz w:val="18"/>
          <w:szCs w:val="18"/>
        </w:rPr>
        <w:t xml:space="preserve">en zal instemmen met het Raadsbesluit hierover. </w:t>
      </w:r>
    </w:p>
    <w:p w:rsidR="00C633D5" w:rsidP="00DF63A4" w:rsidRDefault="00C633D5" w14:paraId="6FFFDF0E" w14:textId="77777777">
      <w:pPr>
        <w:spacing w:line="240" w:lineRule="atLeast"/>
        <w:rPr>
          <w:rFonts w:ascii="Verdana" w:hAnsi="Verdana"/>
          <w:sz w:val="18"/>
          <w:szCs w:val="18"/>
        </w:rPr>
      </w:pPr>
      <w:r>
        <w:rPr>
          <w:rFonts w:ascii="Verdana" w:hAnsi="Verdana"/>
          <w:sz w:val="18"/>
          <w:szCs w:val="18"/>
        </w:rPr>
        <w:lastRenderedPageBreak/>
        <w:t>Omdat</w:t>
      </w:r>
      <w:r w:rsidRPr="008D06E2">
        <w:rPr>
          <w:rFonts w:ascii="Verdana" w:hAnsi="Verdana"/>
          <w:sz w:val="18"/>
          <w:szCs w:val="18"/>
        </w:rPr>
        <w:t xml:space="preserve"> Roemenië </w:t>
      </w:r>
      <w:r>
        <w:rPr>
          <w:rFonts w:ascii="Verdana" w:hAnsi="Verdana"/>
          <w:sz w:val="18"/>
          <w:szCs w:val="18"/>
        </w:rPr>
        <w:t xml:space="preserve">de euro niet als munt heeft zijn binnen de buitensporigtekortprocedure geen verdere stappen voorzien. Wel kan de Commissie aan de Raad voorstellen om middelen op te schorten binnen de Herstel- en Veerkrachtfaciliteit (HVF) en een aantal Europese fondsen. </w:t>
      </w:r>
      <w:r w:rsidRPr="008D06E2">
        <w:rPr>
          <w:rFonts w:ascii="Verdana" w:hAnsi="Verdana"/>
          <w:sz w:val="18"/>
          <w:szCs w:val="18"/>
        </w:rPr>
        <w:t xml:space="preserve"> </w:t>
      </w:r>
    </w:p>
    <w:p w:rsidRPr="008D06E2" w:rsidR="00D202CE" w:rsidP="008D06E2" w:rsidRDefault="00D202CE" w14:paraId="32DCAE97" w14:textId="2FA1C5C6">
      <w:pPr>
        <w:spacing w:after="0" w:line="240" w:lineRule="auto"/>
        <w:rPr>
          <w:rFonts w:ascii="Verdana" w:hAnsi="Verdana" w:eastAsia="Verdana" w:cs="Verdana"/>
          <w:b/>
          <w:bCs/>
          <w:sz w:val="18"/>
          <w:szCs w:val="18"/>
          <w:lang w:val="fr-FR"/>
        </w:rPr>
      </w:pPr>
      <w:proofErr w:type="spellStart"/>
      <w:r w:rsidRPr="008D06E2">
        <w:rPr>
          <w:rFonts w:ascii="Verdana" w:hAnsi="Verdana" w:eastAsia="Verdana" w:cs="Verdana"/>
          <w:b/>
          <w:bCs/>
          <w:sz w:val="18"/>
          <w:szCs w:val="18"/>
          <w:lang w:val="fr-FR"/>
        </w:rPr>
        <w:t>Implementatie</w:t>
      </w:r>
      <w:proofErr w:type="spellEnd"/>
      <w:r w:rsidRPr="008D06E2">
        <w:rPr>
          <w:rFonts w:ascii="Verdana" w:hAnsi="Verdana" w:eastAsia="Verdana" w:cs="Verdana"/>
          <w:b/>
          <w:bCs/>
          <w:sz w:val="18"/>
          <w:szCs w:val="18"/>
          <w:lang w:val="fr-FR"/>
        </w:rPr>
        <w:t xml:space="preserve"> </w:t>
      </w:r>
      <w:proofErr w:type="spellStart"/>
      <w:r w:rsidRPr="008D06E2">
        <w:rPr>
          <w:rFonts w:ascii="Verdana" w:hAnsi="Verdana" w:eastAsia="Verdana" w:cs="Verdana"/>
          <w:b/>
          <w:bCs/>
          <w:sz w:val="18"/>
          <w:szCs w:val="18"/>
          <w:lang w:val="fr-FR"/>
        </w:rPr>
        <w:t>Stabiliteits</w:t>
      </w:r>
      <w:proofErr w:type="spellEnd"/>
      <w:r w:rsidRPr="008D06E2">
        <w:rPr>
          <w:rFonts w:ascii="Verdana" w:hAnsi="Verdana" w:eastAsia="Verdana" w:cs="Verdana"/>
          <w:b/>
          <w:bCs/>
          <w:sz w:val="18"/>
          <w:szCs w:val="18"/>
          <w:lang w:val="fr-FR"/>
        </w:rPr>
        <w:t xml:space="preserve">-en </w:t>
      </w:r>
      <w:proofErr w:type="spellStart"/>
      <w:r w:rsidRPr="008D06E2">
        <w:rPr>
          <w:rFonts w:ascii="Verdana" w:hAnsi="Verdana" w:eastAsia="Verdana" w:cs="Verdana"/>
          <w:b/>
          <w:bCs/>
          <w:sz w:val="18"/>
          <w:szCs w:val="18"/>
          <w:lang w:val="fr-FR"/>
        </w:rPr>
        <w:t>Groeipact</w:t>
      </w:r>
      <w:proofErr w:type="spellEnd"/>
      <w:r w:rsidRPr="008D06E2">
        <w:rPr>
          <w:rFonts w:ascii="Verdana" w:hAnsi="Verdana" w:eastAsia="Verdana" w:cs="Verdana"/>
          <w:b/>
          <w:bCs/>
          <w:sz w:val="18"/>
          <w:szCs w:val="18"/>
          <w:lang w:val="fr-FR"/>
        </w:rPr>
        <w:t xml:space="preserve"> </w:t>
      </w:r>
      <w:proofErr w:type="gramStart"/>
      <w:r w:rsidRPr="008D06E2">
        <w:rPr>
          <w:rFonts w:ascii="Verdana" w:hAnsi="Verdana" w:eastAsia="Verdana" w:cs="Verdana"/>
          <w:b/>
          <w:bCs/>
          <w:sz w:val="18"/>
          <w:szCs w:val="18"/>
          <w:lang w:val="fr-FR"/>
        </w:rPr>
        <w:t xml:space="preserve">–  </w:t>
      </w:r>
      <w:proofErr w:type="spellStart"/>
      <w:r w:rsidRPr="008D06E2">
        <w:rPr>
          <w:rFonts w:ascii="Verdana" w:hAnsi="Verdana" w:eastAsia="Verdana" w:cs="Verdana"/>
          <w:b/>
          <w:bCs/>
          <w:sz w:val="18"/>
          <w:szCs w:val="18"/>
          <w:lang w:val="fr-FR"/>
        </w:rPr>
        <w:t>Implementatie</w:t>
      </w:r>
      <w:proofErr w:type="spellEnd"/>
      <w:proofErr w:type="gramEnd"/>
      <w:r w:rsidRPr="008D06E2">
        <w:rPr>
          <w:rFonts w:ascii="Verdana" w:hAnsi="Verdana" w:eastAsia="Verdana" w:cs="Verdana"/>
          <w:b/>
          <w:bCs/>
          <w:sz w:val="18"/>
          <w:szCs w:val="18"/>
          <w:lang w:val="fr-FR"/>
        </w:rPr>
        <w:t xml:space="preserve"> nationale </w:t>
      </w:r>
      <w:proofErr w:type="spellStart"/>
      <w:r w:rsidRPr="008D06E2">
        <w:rPr>
          <w:rFonts w:ascii="Verdana" w:hAnsi="Verdana" w:eastAsia="Verdana" w:cs="Verdana"/>
          <w:b/>
          <w:bCs/>
          <w:sz w:val="18"/>
          <w:szCs w:val="18"/>
          <w:lang w:val="fr-FR"/>
        </w:rPr>
        <w:t>ontsnappingsclausule</w:t>
      </w:r>
      <w:proofErr w:type="spellEnd"/>
    </w:p>
    <w:p w:rsidRPr="008D06E2" w:rsidR="00D202CE" w:rsidP="008D06E2" w:rsidRDefault="00D202CE" w14:paraId="57229BF0" w14:textId="11C567A8">
      <w:pPr>
        <w:spacing w:after="0" w:line="240" w:lineRule="auto"/>
        <w:rPr>
          <w:rFonts w:ascii="Verdana" w:hAnsi="Verdana" w:eastAsia="Verdana" w:cs="Verdana"/>
          <w:b/>
          <w:bCs/>
          <w:sz w:val="18"/>
          <w:szCs w:val="18"/>
        </w:rPr>
      </w:pPr>
      <w:r w:rsidRPr="008D06E2">
        <w:rPr>
          <w:rFonts w:ascii="Verdana" w:hAnsi="Verdana" w:eastAsia="Verdana" w:cs="Verdana"/>
          <w:b/>
          <w:bCs/>
          <w:sz w:val="18"/>
          <w:szCs w:val="18"/>
        </w:rPr>
        <w:t xml:space="preserve">Document: </w:t>
      </w:r>
      <w:r w:rsidR="005A6606">
        <w:rPr>
          <w:rFonts w:ascii="Verdana" w:hAnsi="Verdana" w:eastAsia="Verdana" w:cs="Verdana"/>
          <w:sz w:val="18"/>
          <w:szCs w:val="18"/>
        </w:rPr>
        <w:t>Commissies aanbevelingen Raadsbesluiten activatie nationale ontsnappingsclausule</w:t>
      </w:r>
      <w:r w:rsidR="005A6606">
        <w:rPr>
          <w:rStyle w:val="Voetnootmarkering"/>
          <w:rFonts w:ascii="Verdana" w:hAnsi="Verdana" w:eastAsia="Verdana" w:cs="Verdana"/>
          <w:sz w:val="18"/>
          <w:szCs w:val="18"/>
        </w:rPr>
        <w:footnoteReference w:id="17"/>
      </w:r>
    </w:p>
    <w:p w:rsidRPr="008D06E2" w:rsidR="00D202CE" w:rsidP="008D06E2" w:rsidRDefault="00D202CE" w14:paraId="65C53228" w14:textId="568E2D8E">
      <w:pPr>
        <w:spacing w:after="0" w:line="240" w:lineRule="auto"/>
        <w:rPr>
          <w:rFonts w:ascii="Verdana" w:hAnsi="Verdana" w:eastAsia="Verdana" w:cs="Verdana"/>
          <w:sz w:val="18"/>
          <w:szCs w:val="18"/>
        </w:rPr>
      </w:pPr>
      <w:r w:rsidRPr="008D06E2">
        <w:rPr>
          <w:rFonts w:ascii="Verdana" w:hAnsi="Verdana" w:eastAsia="Verdana" w:cs="Verdana"/>
          <w:b/>
          <w:bCs/>
          <w:sz w:val="18"/>
          <w:szCs w:val="18"/>
        </w:rPr>
        <w:t xml:space="preserve">Aard bespreking: </w:t>
      </w:r>
      <w:r w:rsidR="00B211EE">
        <w:rPr>
          <w:rFonts w:ascii="Verdana" w:hAnsi="Verdana" w:eastAsia="Verdana" w:cs="Verdana"/>
          <w:sz w:val="18"/>
          <w:szCs w:val="18"/>
        </w:rPr>
        <w:t>presentatie door de Commissie en gedachtewisseling</w:t>
      </w:r>
      <w:r w:rsidRPr="008D06E2">
        <w:rPr>
          <w:rFonts w:ascii="Verdana" w:hAnsi="Verdana"/>
          <w:sz w:val="18"/>
          <w:szCs w:val="18"/>
        </w:rPr>
        <w:br/>
      </w:r>
      <w:r w:rsidRPr="008D06E2">
        <w:rPr>
          <w:rFonts w:ascii="Verdana" w:hAnsi="Verdana" w:eastAsia="Verdana" w:cs="Verdana"/>
          <w:b/>
          <w:bCs/>
          <w:sz w:val="18"/>
          <w:szCs w:val="18"/>
        </w:rPr>
        <w:t xml:space="preserve">Besluitvormingsprocedure: </w:t>
      </w:r>
      <w:r w:rsidR="00B211EE">
        <w:rPr>
          <w:rFonts w:ascii="Verdana" w:hAnsi="Verdana" w:eastAsia="Verdana" w:cs="Verdana"/>
          <w:sz w:val="18"/>
          <w:szCs w:val="18"/>
        </w:rPr>
        <w:t>n.v.t.</w:t>
      </w:r>
    </w:p>
    <w:p w:rsidRPr="008D06E2" w:rsidR="00D202CE" w:rsidP="008D06E2" w:rsidRDefault="00D202CE" w14:paraId="62FC59E3" w14:textId="4AF9AE6F">
      <w:pPr>
        <w:spacing w:line="240" w:lineRule="auto"/>
        <w:rPr>
          <w:rFonts w:ascii="Verdana" w:hAnsi="Verdana"/>
          <w:sz w:val="18"/>
          <w:szCs w:val="18"/>
        </w:rPr>
      </w:pPr>
      <w:r w:rsidRPr="008D06E2">
        <w:rPr>
          <w:rFonts w:ascii="Verdana" w:hAnsi="Verdana" w:eastAsia="Verdana" w:cs="Verdana"/>
          <w:b/>
          <w:bCs/>
          <w:sz w:val="18"/>
          <w:szCs w:val="18"/>
        </w:rPr>
        <w:t>Toelichting:</w:t>
      </w:r>
    </w:p>
    <w:p w:rsidRPr="008D06E2" w:rsidR="00EB6984" w:rsidP="00DF63A4" w:rsidRDefault="00EB6984" w14:paraId="0FBE205D" w14:textId="77777777">
      <w:pPr>
        <w:spacing w:line="240" w:lineRule="atLeast"/>
        <w:rPr>
          <w:rFonts w:ascii="Verdana" w:hAnsi="Verdana"/>
          <w:sz w:val="18"/>
          <w:szCs w:val="18"/>
        </w:rPr>
      </w:pPr>
      <w:r w:rsidRPr="008D06E2">
        <w:rPr>
          <w:rFonts w:ascii="Verdana" w:hAnsi="Verdana"/>
          <w:sz w:val="18"/>
          <w:szCs w:val="18"/>
        </w:rPr>
        <w:t xml:space="preserve">De </w:t>
      </w:r>
      <w:r>
        <w:rPr>
          <w:rFonts w:ascii="Verdana" w:hAnsi="Verdana"/>
          <w:sz w:val="18"/>
          <w:szCs w:val="18"/>
        </w:rPr>
        <w:t xml:space="preserve">Europese </w:t>
      </w:r>
      <w:r w:rsidRPr="008D06E2">
        <w:rPr>
          <w:rFonts w:ascii="Verdana" w:hAnsi="Verdana"/>
          <w:sz w:val="18"/>
          <w:szCs w:val="18"/>
        </w:rPr>
        <w:t xml:space="preserve">Commissie </w:t>
      </w:r>
      <w:r>
        <w:rPr>
          <w:rFonts w:ascii="Verdana" w:hAnsi="Verdana"/>
          <w:sz w:val="18"/>
          <w:szCs w:val="18"/>
        </w:rPr>
        <w:t xml:space="preserve">(de Commissie) </w:t>
      </w:r>
      <w:r w:rsidRPr="008D06E2">
        <w:rPr>
          <w:rFonts w:ascii="Verdana" w:hAnsi="Verdana"/>
          <w:sz w:val="18"/>
          <w:szCs w:val="18"/>
        </w:rPr>
        <w:t>heeft op 19 maart 2025 voorgesteld om de nationale ontsnappingsclausule binnen de Europese begrotingsregels tijdelijk en gericht te activeren, met als doel om nationale defensie-uitgaven op korte termijn te verhogen. De nationale ontsnappingsclausule kan worden geactiveerd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 De Commissie stelt voor de ontsnappingsclausule te activeren voor een periode van vier jaar. Gedurende die periode mogen lidstaten afwijken van het door de Raad vastgestelde (correctieve) uitgavenpad, wanneer dit het gevolg is van een toename van defensie-uitgaven tot een maximum van 1,5% bbp. Daarbij geldt 2021 als referentiejaar. Voor een uitgebreide beschrijving van de Commissiemededeling en kabinetsinzet t.a.v. activatie van de ontsnappingsclausule verwijs ik u naar de Kamerbrief van 28 maart 2025 hieromtrent.</w:t>
      </w:r>
      <w:r>
        <w:rPr>
          <w:rStyle w:val="Voetnootmarkering"/>
          <w:rFonts w:ascii="Verdana" w:hAnsi="Verdana"/>
          <w:sz w:val="18"/>
          <w:szCs w:val="18"/>
        </w:rPr>
        <w:footnoteReference w:id="18"/>
      </w:r>
      <w:r w:rsidRPr="008D06E2">
        <w:rPr>
          <w:rFonts w:ascii="Verdana" w:hAnsi="Verdana"/>
          <w:sz w:val="18"/>
          <w:szCs w:val="18"/>
        </w:rPr>
        <w:t xml:space="preserve"> </w:t>
      </w:r>
    </w:p>
    <w:p w:rsidRPr="00160D6A" w:rsidR="00EB6984" w:rsidP="00DF63A4" w:rsidRDefault="00EB6984" w14:paraId="47038EC8" w14:textId="71BA191A">
      <w:pPr>
        <w:spacing w:line="240" w:lineRule="atLeast"/>
        <w:rPr>
          <w:rFonts w:ascii="Verdana" w:hAnsi="Verdana"/>
          <w:sz w:val="18"/>
          <w:szCs w:val="18"/>
        </w:rPr>
      </w:pPr>
      <w:r>
        <w:rPr>
          <w:rFonts w:ascii="Verdana" w:hAnsi="Verdana"/>
          <w:sz w:val="18"/>
          <w:szCs w:val="18"/>
        </w:rPr>
        <w:t>De volgende</w:t>
      </w:r>
      <w:r w:rsidRPr="008D06E2">
        <w:rPr>
          <w:rFonts w:ascii="Verdana" w:hAnsi="Verdana"/>
          <w:sz w:val="18"/>
          <w:szCs w:val="18"/>
        </w:rPr>
        <w:t xml:space="preserve"> 16 lidstaten </w:t>
      </w:r>
      <w:r>
        <w:rPr>
          <w:rFonts w:ascii="Verdana" w:hAnsi="Verdana"/>
          <w:sz w:val="18"/>
          <w:szCs w:val="18"/>
        </w:rPr>
        <w:t xml:space="preserve">hebben </w:t>
      </w:r>
      <w:r w:rsidRPr="008D06E2">
        <w:rPr>
          <w:rFonts w:ascii="Verdana" w:hAnsi="Verdana"/>
          <w:sz w:val="18"/>
          <w:szCs w:val="18"/>
        </w:rPr>
        <w:t xml:space="preserve">een aanvraag ingediend: België, Bulgarije, Denemarken, Duitsland, Estland, Finland, Griekenland, Kroatië, Letland, Litouwen, Hongarije, Polen, Portugal, Slovenië, Slowakije en Tsjechië. De Commissie heeft de aanvragen beoordeeld </w:t>
      </w:r>
      <w:r>
        <w:rPr>
          <w:rFonts w:ascii="Verdana" w:hAnsi="Verdana"/>
          <w:sz w:val="18"/>
          <w:szCs w:val="18"/>
        </w:rPr>
        <w:t xml:space="preserve">op basis van de </w:t>
      </w:r>
      <w:r w:rsidRPr="008D06E2">
        <w:rPr>
          <w:rFonts w:ascii="Verdana" w:hAnsi="Verdana"/>
          <w:sz w:val="18"/>
          <w:szCs w:val="18"/>
        </w:rPr>
        <w:t>bovengenoemde voorwaarden. De Commissie stelt dat de oorlog in Oekraïne en de daaruit volgende dreiging voor de Europese veiligheid uitzonderlijke omstandigheden betreffen buiten de controle van lidstaten</w:t>
      </w:r>
      <w:r w:rsidR="00DF63A4">
        <w:rPr>
          <w:rFonts w:ascii="Verdana" w:hAnsi="Verdana"/>
          <w:sz w:val="18"/>
          <w:szCs w:val="18"/>
        </w:rPr>
        <w:t>. Ook stelt de Commissie</w:t>
      </w:r>
      <w:r w:rsidRPr="008D06E2">
        <w:rPr>
          <w:rFonts w:ascii="Verdana" w:hAnsi="Verdana"/>
          <w:sz w:val="18"/>
          <w:szCs w:val="18"/>
        </w:rPr>
        <w:t xml:space="preserve"> dat de verhoging van defensie-uitgaven als gevolg van deze omstandigheden een grote impact heeft op de overheidsfinanciën</w:t>
      </w:r>
      <w:r w:rsidR="00DF63A4">
        <w:rPr>
          <w:rFonts w:ascii="Verdana" w:hAnsi="Verdana"/>
          <w:sz w:val="18"/>
          <w:szCs w:val="18"/>
        </w:rPr>
        <w:t>. Daarnaast stelt de Commissie</w:t>
      </w:r>
      <w:r w:rsidRPr="008D06E2">
        <w:rPr>
          <w:rFonts w:ascii="Verdana" w:hAnsi="Verdana"/>
          <w:sz w:val="18"/>
          <w:szCs w:val="18"/>
        </w:rPr>
        <w:t xml:space="preserve"> dat een tijdelijke en gerichte activatie van de ontsnappingsclausule waarborgen biedt voor de schuldhoudbaarheid. Om de impact van activatie van de ontsnappingsclausule op schuldhoudbaarheid te beoordelen, heeft de Commissie schuldhoudbaarheidsanalyses voor de betreffende lidstaten uitgevoerd. </w:t>
      </w:r>
      <w:r>
        <w:rPr>
          <w:rFonts w:ascii="Verdana" w:hAnsi="Verdana"/>
          <w:sz w:val="18"/>
          <w:szCs w:val="18"/>
        </w:rPr>
        <w:t>De Commissie heeft beoordeeld dat de aanvragen voor activatie van de nationale ontsnappingsclausule voor alle 16 lidstaten voldoen aan bovengenoemde criteria, waaronder dat de schuldhoudbaarheid van deze lidstaten niet in gevaar komt. De Commissie doet voor deze 16 lidstaten aanbevelingen aan de Raad.</w:t>
      </w:r>
      <w:r w:rsidR="00DF4968">
        <w:rPr>
          <w:rFonts w:ascii="Verdana" w:hAnsi="Verdana"/>
          <w:sz w:val="18"/>
          <w:szCs w:val="18"/>
        </w:rPr>
        <w:t xml:space="preserve"> Deze aanbevelingen stellen dat lidstaten mogen afwijken van het door de Raad aanbevolen uitgavenpad, onder de voorwaarde dat de afwijking niet groter is dan de toename in defensie-uitgaven ten opzichte van 2021 </w:t>
      </w:r>
      <w:r w:rsidR="00206789">
        <w:rPr>
          <w:rFonts w:ascii="Verdana" w:hAnsi="Verdana"/>
          <w:sz w:val="18"/>
          <w:szCs w:val="18"/>
        </w:rPr>
        <w:t xml:space="preserve">tot een maximum van 1,5% bbp. </w:t>
      </w:r>
    </w:p>
    <w:p w:rsidRPr="008D06E2" w:rsidR="00EB6984" w:rsidP="00DF63A4" w:rsidRDefault="00EB6984" w14:paraId="6E897694" w14:textId="7E483775">
      <w:pPr>
        <w:spacing w:line="240" w:lineRule="atLeast"/>
        <w:rPr>
          <w:rFonts w:ascii="Verdana" w:hAnsi="Verdana"/>
          <w:sz w:val="18"/>
          <w:szCs w:val="18"/>
        </w:rPr>
      </w:pPr>
      <w:r w:rsidRPr="008D06E2">
        <w:rPr>
          <w:rFonts w:ascii="Verdana" w:hAnsi="Verdana"/>
          <w:sz w:val="18"/>
          <w:szCs w:val="18"/>
        </w:rPr>
        <w:t xml:space="preserve">Met de activatie van de nationale ontsnappingsclausule wordt de bestaande flexibiliteit binnen de Europese begrotingsregels tijdelijk en gericht benut en blijven de Europese begrotingsregels ongewijzigd en van toepassing. Dit past binnen de voorwaarden van de </w:t>
      </w:r>
      <w:r w:rsidR="00160D6A">
        <w:rPr>
          <w:rFonts w:ascii="Verdana" w:hAnsi="Verdana"/>
          <w:sz w:val="18"/>
          <w:szCs w:val="18"/>
        </w:rPr>
        <w:t>Nederlandse inzet</w:t>
      </w:r>
      <w:r w:rsidRPr="008D06E2">
        <w:rPr>
          <w:rFonts w:ascii="Verdana" w:hAnsi="Verdana"/>
          <w:sz w:val="18"/>
          <w:szCs w:val="18"/>
        </w:rPr>
        <w:t xml:space="preserve"> dat activatie van de nationale ontsnappingsclausule alleen kan op voorwaarden van tijdelijkheid, gerichtheid, schuldhoudbaarheid en financiële stabiliteit, zoals ook beschreven in de Kamerbrief in reactie op motie Eerdmans</w:t>
      </w:r>
      <w:r w:rsidRPr="008D06E2">
        <w:rPr>
          <w:rStyle w:val="Voetnootmarkering"/>
          <w:rFonts w:ascii="Verdana" w:hAnsi="Verdana"/>
          <w:sz w:val="18"/>
          <w:szCs w:val="18"/>
        </w:rPr>
        <w:footnoteReference w:id="19"/>
      </w:r>
      <w:r w:rsidRPr="008D06E2">
        <w:rPr>
          <w:rFonts w:ascii="Verdana" w:hAnsi="Verdana"/>
          <w:sz w:val="18"/>
          <w:szCs w:val="18"/>
        </w:rPr>
        <w:t xml:space="preserve">. </w:t>
      </w:r>
      <w:r w:rsidR="00160D6A">
        <w:rPr>
          <w:rFonts w:ascii="Verdana" w:hAnsi="Verdana"/>
          <w:sz w:val="18"/>
          <w:szCs w:val="18"/>
        </w:rPr>
        <w:t>Nederland</w:t>
      </w:r>
      <w:r w:rsidRPr="008D06E2">
        <w:rPr>
          <w:rFonts w:ascii="Verdana" w:hAnsi="Verdana"/>
          <w:sz w:val="18"/>
          <w:szCs w:val="18"/>
        </w:rPr>
        <w:t xml:space="preserve"> ondersteunt de oproep van de Commissie dat lidstaten, met oog op het aflopen van de ontsnappingsclausule, hun nationale begrotingen moeten </w:t>
      </w:r>
      <w:proofErr w:type="spellStart"/>
      <w:r w:rsidRPr="008D06E2">
        <w:rPr>
          <w:rFonts w:ascii="Verdana" w:hAnsi="Verdana"/>
          <w:sz w:val="18"/>
          <w:szCs w:val="18"/>
        </w:rPr>
        <w:t>herprioriteren</w:t>
      </w:r>
      <w:proofErr w:type="spellEnd"/>
      <w:r w:rsidRPr="008D06E2">
        <w:rPr>
          <w:rFonts w:ascii="Verdana" w:hAnsi="Verdana"/>
          <w:sz w:val="18"/>
          <w:szCs w:val="18"/>
        </w:rPr>
        <w:t xml:space="preserve"> om een structurele toename van defensie-uitgaven te dekken. Schulden bieden daarvoor geen structurele oplossing, dit vergt keuzes op nationale begrotingen. </w:t>
      </w:r>
    </w:p>
    <w:p w:rsidRPr="008D06E2" w:rsidR="00EB6984" w:rsidP="00DF63A4" w:rsidRDefault="00160D6A" w14:paraId="2A97097F" w14:textId="1CA89756">
      <w:pPr>
        <w:spacing w:line="240" w:lineRule="atLeast"/>
        <w:rPr>
          <w:rFonts w:ascii="Verdana" w:hAnsi="Verdana"/>
          <w:sz w:val="18"/>
          <w:szCs w:val="18"/>
        </w:rPr>
      </w:pPr>
      <w:r>
        <w:rPr>
          <w:rFonts w:ascii="Verdana" w:hAnsi="Verdana"/>
          <w:sz w:val="18"/>
          <w:szCs w:val="18"/>
        </w:rPr>
        <w:t>Nederland</w:t>
      </w:r>
      <w:r w:rsidRPr="008D06E2" w:rsidDel="001004DD" w:rsidR="00EB6984">
        <w:rPr>
          <w:rFonts w:ascii="Verdana" w:hAnsi="Verdana"/>
          <w:sz w:val="18"/>
          <w:szCs w:val="18"/>
        </w:rPr>
        <w:t xml:space="preserve"> </w:t>
      </w:r>
      <w:r w:rsidRPr="008D06E2" w:rsidR="00EB6984">
        <w:rPr>
          <w:rFonts w:ascii="Verdana" w:hAnsi="Verdana"/>
          <w:sz w:val="18"/>
          <w:szCs w:val="18"/>
        </w:rPr>
        <w:t xml:space="preserve">wijst erop dat defensie-uitgaven meegerekend blijven worden in het nationale begrotingstekort en de overheidsschuld van lidstaten, waarmee defensie-uitgaven niet buiten </w:t>
      </w:r>
      <w:r w:rsidRPr="008D06E2" w:rsidR="00EB6984">
        <w:rPr>
          <w:rFonts w:ascii="Verdana" w:hAnsi="Verdana"/>
          <w:sz w:val="18"/>
          <w:szCs w:val="18"/>
        </w:rPr>
        <w:lastRenderedPageBreak/>
        <w:t>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w:t>
      </w:r>
    </w:p>
    <w:p w:rsidRPr="008D06E2" w:rsidR="00EB6984" w:rsidP="00DF63A4" w:rsidRDefault="00160D6A" w14:paraId="7F541F2E" w14:textId="6E386C89">
      <w:pPr>
        <w:spacing w:line="240" w:lineRule="atLeast"/>
        <w:rPr>
          <w:rFonts w:ascii="Verdana" w:hAnsi="Verdana"/>
          <w:sz w:val="18"/>
          <w:szCs w:val="18"/>
        </w:rPr>
      </w:pPr>
      <w:r>
        <w:rPr>
          <w:rFonts w:ascii="Verdana" w:hAnsi="Verdana"/>
          <w:sz w:val="18"/>
          <w:szCs w:val="18"/>
        </w:rPr>
        <w:t>Nederland</w:t>
      </w:r>
      <w:r w:rsidR="00EB6984">
        <w:rPr>
          <w:rFonts w:ascii="Verdana" w:hAnsi="Verdana"/>
          <w:sz w:val="18"/>
          <w:szCs w:val="18"/>
        </w:rPr>
        <w:t xml:space="preserve"> kan zich vinden in de beoordeling van de Commissie dat de aanvragen voor activatie van de nationale ontsnappingsclausule voldoen aan de criteria. </w:t>
      </w:r>
      <w:r w:rsidR="007A55C1">
        <w:rPr>
          <w:rFonts w:ascii="Verdana" w:hAnsi="Verdana"/>
          <w:sz w:val="18"/>
          <w:szCs w:val="18"/>
        </w:rPr>
        <w:t xml:space="preserve">Besluitvorming hierover vindt plaats in de Ecofinraad van juli. </w:t>
      </w:r>
    </w:p>
    <w:p w:rsidRPr="008D06E2" w:rsidR="00EB6984" w:rsidP="00DF63A4" w:rsidRDefault="00EB6984" w14:paraId="593D23F1" w14:textId="75026FF4">
      <w:pPr>
        <w:spacing w:line="240" w:lineRule="atLeast"/>
        <w:rPr>
          <w:rFonts w:ascii="Verdana" w:hAnsi="Verdana"/>
          <w:sz w:val="18"/>
          <w:szCs w:val="18"/>
        </w:rPr>
      </w:pPr>
      <w:r w:rsidRPr="008D06E2">
        <w:rPr>
          <w:rFonts w:ascii="Verdana" w:hAnsi="Verdana"/>
          <w:sz w:val="18"/>
          <w:szCs w:val="18"/>
        </w:rPr>
        <w:t>In het kader van de jaarlijkse monitoring van de toepassing van de nationale ontsnappingsclausule, zal</w:t>
      </w:r>
      <w:r w:rsidR="00160D6A">
        <w:rPr>
          <w:rFonts w:ascii="Verdana" w:hAnsi="Verdana"/>
          <w:sz w:val="18"/>
          <w:szCs w:val="18"/>
        </w:rPr>
        <w:t xml:space="preserve"> Nederland </w:t>
      </w:r>
      <w:r w:rsidRPr="008D06E2">
        <w:rPr>
          <w:rFonts w:ascii="Verdana" w:hAnsi="Verdana"/>
          <w:sz w:val="18"/>
          <w:szCs w:val="18"/>
        </w:rPr>
        <w:t xml:space="preserve">aandacht blijven vragen voor schuldhoudbaarheid en financiële stabiliteit, waaronder het belang van herprioritering </w:t>
      </w:r>
      <w:r>
        <w:rPr>
          <w:rFonts w:ascii="Verdana" w:hAnsi="Verdana"/>
          <w:sz w:val="18"/>
          <w:szCs w:val="18"/>
        </w:rPr>
        <w:t xml:space="preserve">van uitgaven ten behoeve van </w:t>
      </w:r>
      <w:r w:rsidRPr="008D06E2">
        <w:rPr>
          <w:rFonts w:ascii="Verdana" w:hAnsi="Verdana"/>
          <w:sz w:val="18"/>
          <w:szCs w:val="18"/>
        </w:rPr>
        <w:t>structureel hogere defensie-uitgaven.</w:t>
      </w:r>
    </w:p>
    <w:p w:rsidR="00160D6A" w:rsidP="008D06E2" w:rsidRDefault="00160D6A" w14:paraId="7140FEFF" w14:textId="77777777">
      <w:pPr>
        <w:spacing w:after="0" w:line="240" w:lineRule="auto"/>
        <w:rPr>
          <w:rFonts w:ascii="Verdana" w:hAnsi="Verdana" w:eastAsia="Verdana" w:cs="Verdana"/>
          <w:b/>
          <w:bCs/>
          <w:sz w:val="18"/>
          <w:szCs w:val="18"/>
        </w:rPr>
      </w:pPr>
    </w:p>
    <w:p w:rsidRPr="008D06E2" w:rsidR="00F871DE" w:rsidP="008D06E2" w:rsidRDefault="00F871DE" w14:paraId="3C6D3A1F" w14:textId="50CA057A">
      <w:pPr>
        <w:spacing w:after="0" w:line="240" w:lineRule="auto"/>
        <w:rPr>
          <w:rFonts w:ascii="Verdana" w:hAnsi="Verdana" w:eastAsia="Verdana" w:cs="Verdana"/>
          <w:b/>
          <w:bCs/>
          <w:sz w:val="18"/>
          <w:szCs w:val="18"/>
        </w:rPr>
      </w:pPr>
      <w:r w:rsidRPr="008D06E2">
        <w:rPr>
          <w:rFonts w:ascii="Verdana" w:hAnsi="Verdana" w:eastAsia="Verdana" w:cs="Verdana"/>
          <w:b/>
          <w:bCs/>
          <w:sz w:val="18"/>
          <w:szCs w:val="18"/>
        </w:rPr>
        <w:t>Convergentieverslagen van de Europese Centrale Bank en Europese Commissie en uitbreiding van de eurozone</w:t>
      </w:r>
      <w:r w:rsidR="00990FBC">
        <w:rPr>
          <w:rFonts w:ascii="Verdana" w:hAnsi="Verdana" w:eastAsia="Verdana" w:cs="Verdana"/>
          <w:b/>
          <w:bCs/>
          <w:sz w:val="18"/>
          <w:szCs w:val="18"/>
        </w:rPr>
        <w:t xml:space="preserve"> met</w:t>
      </w:r>
      <w:r w:rsidRPr="008D06E2">
        <w:rPr>
          <w:rFonts w:ascii="Verdana" w:hAnsi="Verdana" w:eastAsia="Verdana" w:cs="Verdana"/>
          <w:b/>
          <w:bCs/>
          <w:sz w:val="18"/>
          <w:szCs w:val="18"/>
        </w:rPr>
        <w:t xml:space="preserve"> Bulgarije </w:t>
      </w:r>
    </w:p>
    <w:p w:rsidR="009C5104" w:rsidP="008D06E2" w:rsidRDefault="00F871DE" w14:paraId="2EC4A5B3" w14:textId="7D6517C9">
      <w:pPr>
        <w:spacing w:after="0" w:line="240" w:lineRule="auto"/>
        <w:rPr>
          <w:rFonts w:ascii="Verdana" w:hAnsi="Verdana" w:eastAsia="Verdana" w:cs="Verdana"/>
          <w:b/>
          <w:bCs/>
          <w:sz w:val="18"/>
          <w:szCs w:val="18"/>
        </w:rPr>
      </w:pPr>
      <w:r w:rsidRPr="008D06E2">
        <w:rPr>
          <w:rFonts w:ascii="Verdana" w:hAnsi="Verdana" w:eastAsia="Verdana" w:cs="Verdana"/>
          <w:b/>
          <w:bCs/>
          <w:sz w:val="18"/>
          <w:szCs w:val="18"/>
        </w:rPr>
        <w:t>Document</w:t>
      </w:r>
      <w:r w:rsidR="00160D6A">
        <w:rPr>
          <w:rFonts w:ascii="Verdana" w:hAnsi="Verdana" w:eastAsia="Verdana" w:cs="Verdana"/>
          <w:b/>
          <w:bCs/>
          <w:sz w:val="18"/>
          <w:szCs w:val="18"/>
        </w:rPr>
        <w:t>en</w:t>
      </w:r>
      <w:r w:rsidRPr="008D06E2">
        <w:rPr>
          <w:rFonts w:ascii="Verdana" w:hAnsi="Verdana" w:eastAsia="Verdana" w:cs="Verdana"/>
          <w:b/>
          <w:bCs/>
          <w:sz w:val="18"/>
          <w:szCs w:val="18"/>
        </w:rPr>
        <w:t xml:space="preserve">: </w:t>
      </w:r>
    </w:p>
    <w:p w:rsidRPr="009C5104" w:rsidR="009C5104" w:rsidP="009C5104" w:rsidRDefault="009C5104" w14:paraId="5B7BD761" w14:textId="7415E48B">
      <w:pPr>
        <w:pStyle w:val="Lijstalinea"/>
        <w:numPr>
          <w:ilvl w:val="0"/>
          <w:numId w:val="5"/>
        </w:numPr>
        <w:spacing w:after="0" w:line="240" w:lineRule="auto"/>
        <w:rPr>
          <w:rFonts w:ascii="Verdana" w:hAnsi="Verdana" w:eastAsia="Verdana" w:cs="Verdana"/>
          <w:sz w:val="18"/>
          <w:szCs w:val="18"/>
        </w:rPr>
      </w:pPr>
      <w:r w:rsidRPr="009C5104">
        <w:rPr>
          <w:rFonts w:ascii="Verdana" w:hAnsi="Verdana" w:eastAsia="Verdana" w:cs="Verdana"/>
          <w:sz w:val="18"/>
          <w:szCs w:val="18"/>
        </w:rPr>
        <w:t>Convergentierapport ECB</w:t>
      </w:r>
      <w:r w:rsidR="009E1973">
        <w:rPr>
          <w:rStyle w:val="Voetnootmarkering"/>
          <w:rFonts w:ascii="Verdana" w:hAnsi="Verdana" w:eastAsia="Verdana" w:cs="Verdana"/>
          <w:sz w:val="18"/>
          <w:szCs w:val="18"/>
        </w:rPr>
        <w:footnoteReference w:id="20"/>
      </w:r>
    </w:p>
    <w:p w:rsidRPr="009C5104" w:rsidR="009C5104" w:rsidP="009C5104" w:rsidRDefault="009C5104" w14:paraId="0CB21725" w14:textId="270B8645">
      <w:pPr>
        <w:pStyle w:val="Lijstalinea"/>
        <w:numPr>
          <w:ilvl w:val="0"/>
          <w:numId w:val="5"/>
        </w:numPr>
        <w:spacing w:after="0" w:line="240" w:lineRule="auto"/>
        <w:rPr>
          <w:rFonts w:ascii="Verdana" w:hAnsi="Verdana" w:eastAsia="Verdana" w:cs="Verdana"/>
          <w:sz w:val="18"/>
          <w:szCs w:val="18"/>
        </w:rPr>
      </w:pPr>
      <w:r w:rsidRPr="009C5104">
        <w:rPr>
          <w:rFonts w:ascii="Verdana" w:hAnsi="Verdana" w:eastAsia="Verdana" w:cs="Verdana"/>
          <w:sz w:val="18"/>
          <w:szCs w:val="18"/>
        </w:rPr>
        <w:t>Convergentierapport EC</w:t>
      </w:r>
      <w:r w:rsidR="00AC6342">
        <w:rPr>
          <w:rStyle w:val="Voetnootmarkering"/>
          <w:rFonts w:ascii="Verdana" w:hAnsi="Verdana" w:eastAsia="Verdana" w:cs="Verdana"/>
          <w:sz w:val="18"/>
          <w:szCs w:val="18"/>
        </w:rPr>
        <w:footnoteReference w:id="21"/>
      </w:r>
    </w:p>
    <w:p w:rsidRPr="009C5104" w:rsidR="00F871DE" w:rsidP="009C5104" w:rsidRDefault="008E741C" w14:paraId="455B826A" w14:textId="1D637CA9">
      <w:pPr>
        <w:pStyle w:val="Lijstalinea"/>
        <w:numPr>
          <w:ilvl w:val="0"/>
          <w:numId w:val="5"/>
        </w:numPr>
        <w:spacing w:after="0" w:line="240" w:lineRule="auto"/>
        <w:rPr>
          <w:rFonts w:ascii="Verdana" w:hAnsi="Verdana" w:eastAsia="Verdana" w:cs="Verdana"/>
          <w:b/>
          <w:bCs/>
          <w:sz w:val="18"/>
          <w:szCs w:val="18"/>
        </w:rPr>
      </w:pPr>
      <w:r w:rsidRPr="009C5104">
        <w:rPr>
          <w:rFonts w:ascii="Verdana" w:hAnsi="Verdana" w:eastAsia="Verdana" w:cs="Verdana"/>
          <w:sz w:val="18"/>
          <w:szCs w:val="18"/>
        </w:rPr>
        <w:t xml:space="preserve">De </w:t>
      </w:r>
      <w:r w:rsidRPr="009C5104" w:rsidR="007A55C1">
        <w:rPr>
          <w:rFonts w:ascii="Verdana" w:hAnsi="Verdana" w:eastAsia="Verdana" w:cs="Verdana"/>
          <w:sz w:val="18"/>
          <w:szCs w:val="18"/>
        </w:rPr>
        <w:t>aanbeveling van de eurolanden</w:t>
      </w:r>
      <w:r w:rsidRPr="009C5104" w:rsidR="00F169F2">
        <w:rPr>
          <w:rFonts w:ascii="Verdana" w:hAnsi="Verdana" w:eastAsia="Verdana" w:cs="Verdana"/>
          <w:sz w:val="18"/>
          <w:szCs w:val="18"/>
        </w:rPr>
        <w:t xml:space="preserve"> aan de Raad</w:t>
      </w:r>
      <w:r w:rsidRPr="009C5104" w:rsidR="007A55C1">
        <w:rPr>
          <w:rFonts w:ascii="Verdana" w:hAnsi="Verdana" w:eastAsia="Verdana" w:cs="Verdana"/>
          <w:sz w:val="18"/>
          <w:szCs w:val="18"/>
        </w:rPr>
        <w:t xml:space="preserve"> en de </w:t>
      </w:r>
      <w:r w:rsidRPr="009C5104">
        <w:rPr>
          <w:rFonts w:ascii="Verdana" w:hAnsi="Verdana" w:eastAsia="Verdana" w:cs="Verdana"/>
          <w:sz w:val="18"/>
          <w:szCs w:val="18"/>
        </w:rPr>
        <w:t>brief z</w:t>
      </w:r>
      <w:r w:rsidRPr="009C5104" w:rsidR="007A55C1">
        <w:rPr>
          <w:rFonts w:ascii="Verdana" w:hAnsi="Verdana" w:eastAsia="Verdana" w:cs="Verdana"/>
          <w:sz w:val="18"/>
          <w:szCs w:val="18"/>
        </w:rPr>
        <w:t>u</w:t>
      </w:r>
      <w:r w:rsidRPr="009C5104">
        <w:rPr>
          <w:rFonts w:ascii="Verdana" w:hAnsi="Verdana" w:eastAsia="Verdana" w:cs="Verdana"/>
          <w:sz w:val="18"/>
          <w:szCs w:val="18"/>
        </w:rPr>
        <w:t>l</w:t>
      </w:r>
      <w:r w:rsidRPr="009C5104" w:rsidR="007A55C1">
        <w:rPr>
          <w:rFonts w:ascii="Verdana" w:hAnsi="Verdana" w:eastAsia="Verdana" w:cs="Verdana"/>
          <w:sz w:val="18"/>
          <w:szCs w:val="18"/>
        </w:rPr>
        <w:t>len</w:t>
      </w:r>
      <w:r w:rsidRPr="009C5104">
        <w:rPr>
          <w:rFonts w:ascii="Verdana" w:hAnsi="Verdana" w:eastAsia="Verdana" w:cs="Verdana"/>
          <w:sz w:val="18"/>
          <w:szCs w:val="18"/>
        </w:rPr>
        <w:t xml:space="preserve"> voorafgaand aan de eurogroep/</w:t>
      </w:r>
      <w:proofErr w:type="spellStart"/>
      <w:r w:rsidRPr="009C5104">
        <w:rPr>
          <w:rFonts w:ascii="Verdana" w:hAnsi="Verdana" w:eastAsia="Verdana" w:cs="Verdana"/>
          <w:sz w:val="18"/>
          <w:szCs w:val="18"/>
        </w:rPr>
        <w:t>ecofinRaad</w:t>
      </w:r>
      <w:proofErr w:type="spellEnd"/>
      <w:r w:rsidRPr="009C5104">
        <w:rPr>
          <w:rFonts w:ascii="Verdana" w:hAnsi="Verdana" w:eastAsia="Verdana" w:cs="Verdana"/>
          <w:sz w:val="18"/>
          <w:szCs w:val="18"/>
        </w:rPr>
        <w:t xml:space="preserve"> beschikbaar zijn op het </w:t>
      </w:r>
      <w:proofErr w:type="spellStart"/>
      <w:r w:rsidRPr="009C5104">
        <w:rPr>
          <w:rFonts w:ascii="Verdana" w:hAnsi="Verdana" w:eastAsia="Verdana" w:cs="Verdana"/>
          <w:sz w:val="18"/>
          <w:szCs w:val="18"/>
        </w:rPr>
        <w:t>delegates</w:t>
      </w:r>
      <w:proofErr w:type="spellEnd"/>
      <w:r w:rsidRPr="009C5104">
        <w:rPr>
          <w:rFonts w:ascii="Verdana" w:hAnsi="Verdana" w:eastAsia="Verdana" w:cs="Verdana"/>
          <w:sz w:val="18"/>
          <w:szCs w:val="18"/>
        </w:rPr>
        <w:t xml:space="preserve"> portal. </w:t>
      </w:r>
      <w:r w:rsidRPr="009C5104" w:rsidR="00F871DE">
        <w:rPr>
          <w:rFonts w:ascii="Verdana" w:hAnsi="Verdana" w:eastAsia="Verdana" w:cs="Verdana"/>
          <w:sz w:val="18"/>
          <w:szCs w:val="18"/>
        </w:rPr>
        <w:t xml:space="preserve"> </w:t>
      </w:r>
    </w:p>
    <w:p w:rsidRPr="008D06E2" w:rsidR="00F871DE" w:rsidP="008D06E2" w:rsidRDefault="00F871DE" w14:paraId="62A6FD77" w14:textId="1AFAB06E">
      <w:pPr>
        <w:spacing w:after="0" w:line="240" w:lineRule="auto"/>
        <w:rPr>
          <w:rFonts w:ascii="Verdana" w:hAnsi="Verdana" w:eastAsia="Verdana" w:cs="Verdana"/>
          <w:sz w:val="18"/>
          <w:szCs w:val="18"/>
        </w:rPr>
      </w:pPr>
      <w:r w:rsidRPr="008D06E2">
        <w:rPr>
          <w:rFonts w:ascii="Verdana" w:hAnsi="Verdana" w:eastAsia="Verdana" w:cs="Verdana"/>
          <w:b/>
          <w:bCs/>
          <w:sz w:val="18"/>
          <w:szCs w:val="18"/>
        </w:rPr>
        <w:t xml:space="preserve">Aard bespreking: </w:t>
      </w:r>
      <w:r w:rsidRPr="008D06E2">
        <w:rPr>
          <w:rFonts w:ascii="Verdana" w:hAnsi="Verdana" w:eastAsia="Verdana" w:cs="Verdana"/>
          <w:sz w:val="18"/>
          <w:szCs w:val="18"/>
        </w:rPr>
        <w:t xml:space="preserve">aanname van de aanbeveling van de lidstaten van het eurogebied aan de Raad over de invoering van de euro in Bulgarije per 1 januari 2026 en goedkeuring van een brief van de voorzitter van de Raad aan de voorzitter van de Europese Raad over uitbreiding van het eurogebied in de Ecofinraad. De dag ervoor zal het in de Eurogroep besproken worden. </w:t>
      </w:r>
      <w:r w:rsidRPr="008D06E2">
        <w:rPr>
          <w:rFonts w:ascii="Verdana" w:hAnsi="Verdana"/>
          <w:sz w:val="18"/>
          <w:szCs w:val="18"/>
        </w:rPr>
        <w:br/>
      </w:r>
      <w:r w:rsidRPr="008D06E2">
        <w:rPr>
          <w:rFonts w:ascii="Verdana" w:hAnsi="Verdana" w:eastAsia="Verdana" w:cs="Verdana"/>
          <w:b/>
          <w:bCs/>
          <w:sz w:val="18"/>
          <w:szCs w:val="18"/>
        </w:rPr>
        <w:t xml:space="preserve">Besluitvormingsprocedure: </w:t>
      </w:r>
      <w:r w:rsidRPr="008D06E2">
        <w:rPr>
          <w:rFonts w:ascii="Verdana" w:hAnsi="Verdana" w:eastAsia="Verdana" w:cs="Verdana"/>
          <w:sz w:val="18"/>
          <w:szCs w:val="18"/>
        </w:rPr>
        <w:t>gekwalificeerde meerderheid</w:t>
      </w:r>
      <w:r w:rsidR="00990FBC">
        <w:rPr>
          <w:rFonts w:ascii="Verdana" w:hAnsi="Verdana" w:eastAsia="Verdana" w:cs="Verdana"/>
          <w:sz w:val="18"/>
          <w:szCs w:val="18"/>
        </w:rPr>
        <w:t xml:space="preserve"> (aanbeveling van de lidstaten van het Eurogebied aan de Raad) en consensus (brief van de voorzitter van de Raad aan de voorzitter van de Europese Raad)</w:t>
      </w:r>
      <w:r w:rsidRPr="008D06E2">
        <w:rPr>
          <w:rFonts w:ascii="Verdana" w:hAnsi="Verdana" w:eastAsia="Verdana" w:cs="Verdana"/>
          <w:sz w:val="18"/>
          <w:szCs w:val="18"/>
        </w:rPr>
        <w:t xml:space="preserve"> </w:t>
      </w:r>
    </w:p>
    <w:p w:rsidRPr="008D06E2" w:rsidR="00F871DE" w:rsidP="008D06E2" w:rsidRDefault="00F871DE" w14:paraId="3B5699B8" w14:textId="0B61EE10">
      <w:pPr>
        <w:spacing w:line="240" w:lineRule="auto"/>
        <w:rPr>
          <w:rFonts w:ascii="Verdana" w:hAnsi="Verdana" w:eastAsia="Times New Roman"/>
          <w:sz w:val="18"/>
          <w:szCs w:val="18"/>
          <w:lang w:eastAsia="nl-NL"/>
        </w:rPr>
      </w:pPr>
      <w:r w:rsidRPr="008D06E2">
        <w:rPr>
          <w:rFonts w:ascii="Verdana" w:hAnsi="Verdana" w:eastAsia="Times New Roman"/>
          <w:b/>
          <w:bCs/>
          <w:sz w:val="18"/>
          <w:szCs w:val="18"/>
          <w:lang w:eastAsia="nl-NL"/>
        </w:rPr>
        <w:t>Toelichting</w:t>
      </w:r>
      <w:r w:rsidRPr="008D06E2">
        <w:rPr>
          <w:rFonts w:ascii="Verdana" w:hAnsi="Verdana" w:eastAsia="Times New Roman"/>
          <w:sz w:val="18"/>
          <w:szCs w:val="18"/>
          <w:lang w:eastAsia="nl-NL"/>
        </w:rPr>
        <w:t>:</w:t>
      </w:r>
    </w:p>
    <w:p w:rsidR="005A6ADB" w:rsidP="00672498" w:rsidRDefault="00F871DE" w14:paraId="5F849C1C" w14:textId="01B1C143">
      <w:pPr>
        <w:spacing w:line="240" w:lineRule="atLeast"/>
        <w:rPr>
          <w:rStyle w:val="normaltextrun"/>
          <w:rFonts w:ascii="Verdana" w:hAnsi="Verdana" w:cs="Segoe UI"/>
          <w:sz w:val="18"/>
          <w:szCs w:val="18"/>
        </w:rPr>
      </w:pPr>
      <w:bookmarkStart w:name="_Hlk199253765" w:id="2"/>
      <w:r w:rsidRPr="008D06E2">
        <w:rPr>
          <w:rFonts w:ascii="Verdana" w:hAnsi="Verdana" w:eastAsia="Times New Roman"/>
          <w:sz w:val="18"/>
          <w:szCs w:val="18"/>
          <w:lang w:eastAsia="nl-NL"/>
        </w:rPr>
        <w:t>In de Ecofinraad zal worden gesproken over de voortgang van Bulgarije met betrekking tot de voorwaarden om per 1 januari 2026 de euro in te kunnen voeren</w:t>
      </w:r>
      <w:bookmarkEnd w:id="2"/>
      <w:r w:rsidR="005020AB">
        <w:rPr>
          <w:rFonts w:ascii="Verdana" w:hAnsi="Verdana" w:eastAsia="Times New Roman"/>
          <w:sz w:val="18"/>
          <w:szCs w:val="18"/>
          <w:lang w:eastAsia="nl-NL"/>
        </w:rPr>
        <w:t xml:space="preserve">. </w:t>
      </w:r>
      <w:r w:rsidRPr="008D06E2" w:rsidR="005020AB">
        <w:rPr>
          <w:rFonts w:ascii="Verdana" w:hAnsi="Verdana"/>
          <w:sz w:val="18"/>
          <w:szCs w:val="18"/>
        </w:rPr>
        <w:t>De</w:t>
      </w:r>
      <w:r w:rsidR="005020AB">
        <w:rPr>
          <w:rFonts w:ascii="Verdana" w:hAnsi="Verdana"/>
          <w:sz w:val="18"/>
          <w:szCs w:val="18"/>
        </w:rPr>
        <w:t>ze</w:t>
      </w:r>
      <w:r w:rsidRPr="008D06E2" w:rsidR="005020AB">
        <w:rPr>
          <w:rFonts w:ascii="Verdana" w:hAnsi="Verdana"/>
          <w:sz w:val="18"/>
          <w:szCs w:val="18"/>
        </w:rPr>
        <w:t xml:space="preserve"> </w:t>
      </w:r>
      <w:r w:rsidR="005020AB">
        <w:rPr>
          <w:rFonts w:ascii="Verdana" w:hAnsi="Verdana"/>
          <w:sz w:val="18"/>
          <w:szCs w:val="18"/>
        </w:rPr>
        <w:t xml:space="preserve">zogenaamde </w:t>
      </w:r>
      <w:r w:rsidRPr="008D06E2" w:rsidR="005020AB">
        <w:rPr>
          <w:rFonts w:ascii="Verdana" w:hAnsi="Verdana"/>
          <w:sz w:val="18"/>
          <w:szCs w:val="18"/>
        </w:rPr>
        <w:t xml:space="preserve">convergentiecriteria zijn economische voorwaarden die in het </w:t>
      </w:r>
      <w:r w:rsidR="00990FBC">
        <w:rPr>
          <w:rFonts w:ascii="Verdana" w:hAnsi="Verdana"/>
          <w:sz w:val="18"/>
          <w:szCs w:val="18"/>
        </w:rPr>
        <w:t>Verdrag betreffende de werking van de Europese Unie (</w:t>
      </w:r>
      <w:r w:rsidRPr="008D06E2" w:rsidR="005020AB">
        <w:rPr>
          <w:rFonts w:ascii="Verdana" w:hAnsi="Verdana"/>
          <w:sz w:val="18"/>
          <w:szCs w:val="18"/>
        </w:rPr>
        <w:t>VWEU</w:t>
      </w:r>
      <w:r w:rsidR="005020AB">
        <w:rPr>
          <w:rFonts w:ascii="Verdana" w:hAnsi="Verdana"/>
          <w:sz w:val="18"/>
          <w:szCs w:val="18"/>
        </w:rPr>
        <w:t xml:space="preserve">) </w:t>
      </w:r>
      <w:r w:rsidRPr="008D06E2" w:rsidR="005020AB">
        <w:rPr>
          <w:rFonts w:ascii="Verdana" w:hAnsi="Verdana"/>
          <w:sz w:val="18"/>
          <w:szCs w:val="18"/>
        </w:rPr>
        <w:t>zijn vastgelegd om te bepalen wanneer een land mag toetreden tot de eurozone</w:t>
      </w:r>
      <w:r w:rsidRPr="008D06E2">
        <w:rPr>
          <w:rFonts w:ascii="Verdana" w:hAnsi="Verdana" w:eastAsia="Times New Roman"/>
          <w:sz w:val="18"/>
          <w:szCs w:val="18"/>
          <w:lang w:eastAsia="nl-NL"/>
        </w:rPr>
        <w:t>. Over de criteria hebben de Europese Commissie en de Europese Centrale bank</w:t>
      </w:r>
      <w:r w:rsidR="007E5867">
        <w:rPr>
          <w:rFonts w:ascii="Verdana" w:hAnsi="Verdana" w:eastAsia="Times New Roman"/>
          <w:sz w:val="18"/>
          <w:szCs w:val="18"/>
          <w:lang w:eastAsia="nl-NL"/>
        </w:rPr>
        <w:t xml:space="preserve"> </w:t>
      </w:r>
      <w:r w:rsidRPr="008D06E2">
        <w:rPr>
          <w:rFonts w:ascii="Verdana" w:hAnsi="Verdana" w:eastAsia="Times New Roman"/>
          <w:sz w:val="18"/>
          <w:szCs w:val="18"/>
          <w:lang w:eastAsia="nl-NL"/>
        </w:rPr>
        <w:t>convergentierapporten opgesteld die op 4 juni jl. zijn gepubliceerd</w:t>
      </w:r>
      <w:r w:rsidRPr="008D06E2">
        <w:rPr>
          <w:rStyle w:val="normaltextrun"/>
          <w:rFonts w:ascii="Verdana" w:hAnsi="Verdana" w:cs="Segoe UI"/>
          <w:sz w:val="18"/>
          <w:szCs w:val="18"/>
        </w:rPr>
        <w:t xml:space="preserve">. </w:t>
      </w:r>
      <w:r w:rsidRPr="005A6ADB" w:rsidR="005A6ADB">
        <w:rPr>
          <w:rFonts w:ascii="Verdana" w:hAnsi="Verdana" w:cs="Segoe UI"/>
          <w:sz w:val="18"/>
          <w:szCs w:val="18"/>
        </w:rPr>
        <w:t xml:space="preserve">Deze </w:t>
      </w:r>
      <w:r w:rsidR="004B7EEE">
        <w:rPr>
          <w:rFonts w:ascii="Verdana" w:hAnsi="Verdana" w:cs="Segoe UI"/>
          <w:sz w:val="18"/>
          <w:szCs w:val="18"/>
        </w:rPr>
        <w:t>rapporten</w:t>
      </w:r>
      <w:r w:rsidRPr="005A6ADB" w:rsidR="004B7EEE">
        <w:rPr>
          <w:rFonts w:ascii="Verdana" w:hAnsi="Verdana" w:cs="Segoe UI"/>
          <w:sz w:val="18"/>
          <w:szCs w:val="18"/>
        </w:rPr>
        <w:t xml:space="preserve"> </w:t>
      </w:r>
      <w:r w:rsidRPr="005A6ADB" w:rsidR="005A6ADB">
        <w:rPr>
          <w:rFonts w:ascii="Verdana" w:hAnsi="Verdana" w:cs="Segoe UI"/>
          <w:sz w:val="18"/>
          <w:szCs w:val="18"/>
        </w:rPr>
        <w:t>werd</w:t>
      </w:r>
      <w:r w:rsidR="004B7EEE">
        <w:rPr>
          <w:rFonts w:ascii="Verdana" w:hAnsi="Verdana" w:cs="Segoe UI"/>
          <w:sz w:val="18"/>
          <w:szCs w:val="18"/>
        </w:rPr>
        <w:t>en</w:t>
      </w:r>
      <w:r w:rsidRPr="005A6ADB" w:rsidR="005A6ADB">
        <w:rPr>
          <w:rFonts w:ascii="Verdana" w:hAnsi="Verdana" w:cs="Segoe UI"/>
          <w:sz w:val="18"/>
          <w:szCs w:val="18"/>
        </w:rPr>
        <w:t xml:space="preserve"> tijdens de Eurogroep/Ecofin</w:t>
      </w:r>
      <w:r w:rsidR="004B7EEE">
        <w:rPr>
          <w:rFonts w:ascii="Verdana" w:hAnsi="Verdana" w:cs="Segoe UI"/>
          <w:sz w:val="18"/>
          <w:szCs w:val="18"/>
        </w:rPr>
        <w:t>raad</w:t>
      </w:r>
      <w:r w:rsidRPr="005A6ADB" w:rsidR="005A6ADB">
        <w:rPr>
          <w:rFonts w:ascii="Verdana" w:hAnsi="Verdana" w:cs="Segoe UI"/>
          <w:sz w:val="18"/>
          <w:szCs w:val="18"/>
        </w:rPr>
        <w:t xml:space="preserve"> van februari aangekondigd</w:t>
      </w:r>
      <w:r w:rsidR="005A6ADB">
        <w:rPr>
          <w:rStyle w:val="Voetnootmarkering"/>
          <w:rFonts w:ascii="Verdana" w:hAnsi="Verdana" w:eastAsia="Times New Roman"/>
          <w:sz w:val="18"/>
          <w:szCs w:val="18"/>
          <w:lang w:eastAsia="nl-NL"/>
        </w:rPr>
        <w:footnoteReference w:id="22"/>
      </w:r>
      <w:r w:rsidR="005A6ADB">
        <w:rPr>
          <w:rFonts w:ascii="Verdana" w:hAnsi="Verdana" w:cs="Segoe UI"/>
          <w:sz w:val="18"/>
          <w:szCs w:val="18"/>
        </w:rPr>
        <w:t xml:space="preserve"> en </w:t>
      </w:r>
      <w:r w:rsidR="004B7EEE">
        <w:rPr>
          <w:rFonts w:ascii="Verdana" w:hAnsi="Verdana" w:cs="Segoe UI"/>
          <w:sz w:val="18"/>
          <w:szCs w:val="18"/>
        </w:rPr>
        <w:t>uw Kamer</w:t>
      </w:r>
      <w:r w:rsidR="00336C35">
        <w:rPr>
          <w:rFonts w:ascii="Verdana" w:hAnsi="Verdana" w:cs="Segoe UI"/>
          <w:sz w:val="18"/>
          <w:szCs w:val="18"/>
        </w:rPr>
        <w:t xml:space="preserve"> heeft </w:t>
      </w:r>
      <w:r w:rsidR="00D16706">
        <w:rPr>
          <w:rFonts w:ascii="Verdana" w:hAnsi="Verdana" w:cs="Segoe UI"/>
          <w:sz w:val="18"/>
          <w:szCs w:val="18"/>
        </w:rPr>
        <w:t xml:space="preserve">in het verslag van </w:t>
      </w:r>
      <w:r w:rsidR="004B7EEE">
        <w:rPr>
          <w:rFonts w:ascii="Verdana" w:hAnsi="Verdana" w:cs="Segoe UI"/>
          <w:sz w:val="18"/>
          <w:szCs w:val="18"/>
        </w:rPr>
        <w:t xml:space="preserve">de Eurogroep/Ecofinraad van </w:t>
      </w:r>
      <w:r w:rsidR="00D16706">
        <w:rPr>
          <w:rFonts w:ascii="Verdana" w:hAnsi="Verdana" w:cs="Segoe UI"/>
          <w:sz w:val="18"/>
          <w:szCs w:val="18"/>
        </w:rPr>
        <w:t>april</w:t>
      </w:r>
      <w:r w:rsidR="00336C35">
        <w:rPr>
          <w:rFonts w:ascii="Verdana" w:hAnsi="Verdana" w:cs="Segoe UI"/>
          <w:sz w:val="18"/>
          <w:szCs w:val="18"/>
        </w:rPr>
        <w:t xml:space="preserve"> nog een update ontvangen</w:t>
      </w:r>
      <w:r w:rsidR="00336C35">
        <w:rPr>
          <w:rStyle w:val="Voetnootmarkering"/>
          <w:rFonts w:ascii="Verdana" w:hAnsi="Verdana" w:cs="Segoe UI"/>
          <w:sz w:val="18"/>
          <w:szCs w:val="18"/>
        </w:rPr>
        <w:footnoteReference w:id="23"/>
      </w:r>
      <w:r w:rsidR="00336C35">
        <w:rPr>
          <w:rFonts w:ascii="Verdana" w:hAnsi="Verdana" w:cs="Segoe UI"/>
          <w:sz w:val="18"/>
          <w:szCs w:val="18"/>
        </w:rPr>
        <w:t xml:space="preserve">. </w:t>
      </w:r>
      <w:r w:rsidR="005A6ADB">
        <w:rPr>
          <w:rFonts w:ascii="Verdana" w:hAnsi="Verdana" w:cs="Segoe UI"/>
          <w:sz w:val="18"/>
          <w:szCs w:val="18"/>
        </w:rPr>
        <w:t xml:space="preserve"> </w:t>
      </w:r>
    </w:p>
    <w:p w:rsidRPr="00B37352" w:rsidR="00E600A6" w:rsidP="00672498" w:rsidRDefault="005020AB" w14:paraId="663FE121" w14:textId="610E63B0">
      <w:pPr>
        <w:spacing w:line="240" w:lineRule="atLeast"/>
        <w:rPr>
          <w:rFonts w:ascii="Verdana" w:hAnsi="Verdana" w:eastAsia="Calibri" w:cs="Arial"/>
          <w:sz w:val="18"/>
          <w:szCs w:val="18"/>
        </w:rPr>
      </w:pPr>
      <w:r>
        <w:rPr>
          <w:rFonts w:ascii="Verdana" w:hAnsi="Verdana" w:eastAsia="Times New Roman"/>
          <w:sz w:val="18"/>
          <w:szCs w:val="18"/>
          <w:lang w:eastAsia="nl-NL"/>
        </w:rPr>
        <w:t xml:space="preserve">De </w:t>
      </w:r>
      <w:r w:rsidRPr="008D06E2" w:rsidR="00E5464C">
        <w:rPr>
          <w:rFonts w:ascii="Verdana" w:hAnsi="Verdana" w:eastAsia="Times New Roman"/>
          <w:sz w:val="18"/>
          <w:szCs w:val="18"/>
          <w:lang w:eastAsia="nl-NL"/>
        </w:rPr>
        <w:t xml:space="preserve">convergentiecriteria </w:t>
      </w:r>
      <w:r>
        <w:rPr>
          <w:rFonts w:ascii="Verdana" w:hAnsi="Verdana" w:eastAsia="Times New Roman"/>
          <w:sz w:val="18"/>
          <w:szCs w:val="18"/>
          <w:lang w:eastAsia="nl-NL"/>
        </w:rPr>
        <w:t xml:space="preserve">hebben </w:t>
      </w:r>
      <w:r w:rsidRPr="008D06E2" w:rsidR="00E5464C">
        <w:rPr>
          <w:rFonts w:ascii="Verdana" w:hAnsi="Verdana" w:eastAsia="Times New Roman"/>
          <w:sz w:val="18"/>
          <w:szCs w:val="18"/>
          <w:lang w:eastAsia="nl-NL"/>
        </w:rPr>
        <w:t xml:space="preserve">betrekking </w:t>
      </w:r>
      <w:r>
        <w:rPr>
          <w:rFonts w:ascii="Verdana" w:hAnsi="Verdana" w:eastAsia="Times New Roman"/>
          <w:sz w:val="18"/>
          <w:szCs w:val="18"/>
          <w:lang w:eastAsia="nl-NL"/>
        </w:rPr>
        <w:t xml:space="preserve">op de </w:t>
      </w:r>
      <w:r w:rsidRPr="008D06E2" w:rsidR="00E5464C">
        <w:rPr>
          <w:rFonts w:ascii="Verdana" w:hAnsi="Verdana" w:eastAsia="Times New Roman"/>
          <w:sz w:val="18"/>
          <w:szCs w:val="18"/>
          <w:lang w:eastAsia="nl-NL"/>
        </w:rPr>
        <w:t>rente, overheidsfinanciën</w:t>
      </w:r>
      <w:r w:rsidR="00DA1869">
        <w:rPr>
          <w:rFonts w:ascii="Verdana" w:hAnsi="Verdana" w:eastAsia="Times New Roman"/>
          <w:sz w:val="18"/>
          <w:szCs w:val="18"/>
          <w:lang w:eastAsia="nl-NL"/>
        </w:rPr>
        <w:t xml:space="preserve">, </w:t>
      </w:r>
      <w:r w:rsidRPr="008D06E2" w:rsidR="00E5464C">
        <w:rPr>
          <w:rFonts w:ascii="Verdana" w:hAnsi="Verdana" w:eastAsia="Times New Roman"/>
          <w:sz w:val="18"/>
          <w:szCs w:val="18"/>
          <w:lang w:eastAsia="nl-NL"/>
        </w:rPr>
        <w:t>wisselkoers</w:t>
      </w:r>
      <w:r w:rsidR="00DA1869">
        <w:rPr>
          <w:rFonts w:ascii="Verdana" w:hAnsi="Verdana" w:eastAsia="Times New Roman"/>
          <w:sz w:val="18"/>
          <w:szCs w:val="18"/>
          <w:lang w:eastAsia="nl-NL"/>
        </w:rPr>
        <w:t xml:space="preserve"> en inflatie</w:t>
      </w:r>
      <w:r>
        <w:rPr>
          <w:rFonts w:ascii="Verdana" w:hAnsi="Verdana" w:eastAsia="Times New Roman"/>
          <w:sz w:val="18"/>
          <w:szCs w:val="18"/>
          <w:lang w:eastAsia="nl-NL"/>
        </w:rPr>
        <w:t>.</w:t>
      </w:r>
      <w:r w:rsidRPr="008D06E2" w:rsidR="00E5464C">
        <w:rPr>
          <w:rFonts w:ascii="Verdana" w:hAnsi="Verdana" w:eastAsia="Times New Roman"/>
          <w:sz w:val="18"/>
          <w:szCs w:val="18"/>
          <w:lang w:eastAsia="nl-NL"/>
        </w:rPr>
        <w:t xml:space="preserve"> </w:t>
      </w:r>
      <w:r w:rsidRPr="008D06E2" w:rsidR="00F871DE">
        <w:rPr>
          <w:rFonts w:ascii="Verdana" w:hAnsi="Verdana" w:eastAsia="Times New Roman"/>
          <w:sz w:val="18"/>
          <w:szCs w:val="18"/>
          <w:lang w:eastAsia="nl-NL"/>
        </w:rPr>
        <w:t xml:space="preserve">Bulgarije voldoet </w:t>
      </w:r>
      <w:r w:rsidR="00E5464C">
        <w:rPr>
          <w:rFonts w:ascii="Verdana" w:hAnsi="Verdana" w:eastAsia="Times New Roman"/>
          <w:sz w:val="18"/>
          <w:szCs w:val="18"/>
          <w:lang w:eastAsia="nl-NL"/>
        </w:rPr>
        <w:t xml:space="preserve">volgens de rapporten </w:t>
      </w:r>
      <w:r w:rsidRPr="008D06E2" w:rsidR="00F871DE">
        <w:rPr>
          <w:rFonts w:ascii="Verdana" w:hAnsi="Verdana" w:eastAsia="Times New Roman"/>
          <w:sz w:val="18"/>
          <w:szCs w:val="18"/>
          <w:lang w:eastAsia="nl-NL"/>
        </w:rPr>
        <w:t xml:space="preserve">aan alle convergentiecriteria. De rente op langlopende Bulgaarse staatsobligaties </w:t>
      </w:r>
      <w:r>
        <w:rPr>
          <w:rFonts w:ascii="Verdana" w:hAnsi="Verdana" w:eastAsia="Times New Roman"/>
          <w:sz w:val="18"/>
          <w:szCs w:val="18"/>
          <w:lang w:eastAsia="nl-NL"/>
        </w:rPr>
        <w:t xml:space="preserve">is </w:t>
      </w:r>
      <w:r w:rsidR="00B37352">
        <w:rPr>
          <w:rFonts w:ascii="Verdana" w:hAnsi="Verdana" w:eastAsia="Times New Roman"/>
          <w:sz w:val="18"/>
          <w:szCs w:val="18"/>
          <w:lang w:eastAsia="nl-NL"/>
        </w:rPr>
        <w:t>3,9%</w:t>
      </w:r>
      <w:r>
        <w:rPr>
          <w:rFonts w:ascii="Verdana" w:hAnsi="Verdana" w:eastAsia="Times New Roman"/>
          <w:sz w:val="18"/>
          <w:szCs w:val="18"/>
          <w:lang w:eastAsia="nl-NL"/>
        </w:rPr>
        <w:t xml:space="preserve">. Hiermee voldoet Bulgarije aan de voorwaarde dat de rente </w:t>
      </w:r>
      <w:r w:rsidRPr="008D06E2" w:rsidR="00F871DE">
        <w:rPr>
          <w:rFonts w:ascii="Verdana" w:hAnsi="Verdana" w:eastAsia="Times New Roman"/>
          <w:sz w:val="18"/>
          <w:szCs w:val="18"/>
          <w:lang w:eastAsia="nl-NL"/>
        </w:rPr>
        <w:t xml:space="preserve">minder dan </w:t>
      </w:r>
      <w:r w:rsidR="00B37352">
        <w:rPr>
          <w:rFonts w:ascii="Verdana" w:hAnsi="Verdana" w:eastAsia="Times New Roman"/>
          <w:sz w:val="18"/>
          <w:szCs w:val="18"/>
          <w:lang w:eastAsia="nl-NL"/>
        </w:rPr>
        <w:t>2</w:t>
      </w:r>
      <w:r w:rsidRPr="008D06E2" w:rsidR="00F871DE">
        <w:rPr>
          <w:rFonts w:ascii="Verdana" w:hAnsi="Verdana" w:eastAsia="Times New Roman"/>
          <w:sz w:val="18"/>
          <w:szCs w:val="18"/>
          <w:lang w:eastAsia="nl-NL"/>
        </w:rPr>
        <w:t>% boven de rente van de drie landen met de laagste inflatie</w:t>
      </w:r>
      <w:r>
        <w:rPr>
          <w:rFonts w:ascii="Verdana" w:hAnsi="Verdana" w:eastAsia="Times New Roman"/>
          <w:sz w:val="18"/>
          <w:szCs w:val="18"/>
          <w:lang w:eastAsia="nl-NL"/>
        </w:rPr>
        <w:t xml:space="preserve"> ligt</w:t>
      </w:r>
      <w:r w:rsidRPr="008D06E2" w:rsidR="00F871DE">
        <w:rPr>
          <w:rFonts w:ascii="Verdana" w:hAnsi="Verdana" w:eastAsia="Times New Roman"/>
          <w:sz w:val="18"/>
          <w:szCs w:val="18"/>
          <w:lang w:eastAsia="nl-NL"/>
        </w:rPr>
        <w:t xml:space="preserve">. Met betrekking tot de overheidsfinanciën </w:t>
      </w:r>
      <w:r w:rsidR="00DA1869">
        <w:rPr>
          <w:rFonts w:ascii="Verdana" w:hAnsi="Verdana" w:eastAsia="Times New Roman"/>
          <w:sz w:val="18"/>
          <w:szCs w:val="18"/>
          <w:lang w:eastAsia="nl-NL"/>
        </w:rPr>
        <w:t xml:space="preserve">voldoet Bulgarije aan de voorwaarde </w:t>
      </w:r>
      <w:r w:rsidRPr="008D06E2" w:rsidR="00DA1869">
        <w:rPr>
          <w:rFonts w:ascii="Verdana" w:hAnsi="Verdana" w:eastAsia="Times New Roman"/>
          <w:sz w:val="18"/>
          <w:szCs w:val="18"/>
          <w:lang w:eastAsia="nl-NL"/>
        </w:rPr>
        <w:t>dat er geen</w:t>
      </w:r>
      <w:r w:rsidR="00F169F2">
        <w:rPr>
          <w:rFonts w:ascii="Verdana" w:hAnsi="Verdana" w:eastAsia="Times New Roman"/>
          <w:sz w:val="18"/>
          <w:szCs w:val="18"/>
          <w:lang w:eastAsia="nl-NL"/>
        </w:rPr>
        <w:t xml:space="preserve"> </w:t>
      </w:r>
      <w:r w:rsidR="00F744D3">
        <w:rPr>
          <w:rFonts w:ascii="Verdana" w:hAnsi="Verdana" w:eastAsia="Times New Roman"/>
          <w:sz w:val="18"/>
          <w:szCs w:val="18"/>
          <w:lang w:eastAsia="nl-NL"/>
        </w:rPr>
        <w:t xml:space="preserve">sprake </w:t>
      </w:r>
      <w:r w:rsidRPr="008D06E2" w:rsidR="00DA1869">
        <w:rPr>
          <w:rFonts w:ascii="Verdana" w:hAnsi="Verdana" w:eastAsia="Times New Roman"/>
          <w:sz w:val="18"/>
          <w:szCs w:val="18"/>
          <w:lang w:eastAsia="nl-NL"/>
        </w:rPr>
        <w:t xml:space="preserve">mag zijn </w:t>
      </w:r>
      <w:r w:rsidR="00F744D3">
        <w:rPr>
          <w:rFonts w:ascii="Verdana" w:hAnsi="Verdana" w:eastAsia="Times New Roman"/>
          <w:sz w:val="18"/>
          <w:szCs w:val="18"/>
          <w:lang w:eastAsia="nl-NL"/>
        </w:rPr>
        <w:t>van een Raadbesluit waarin een buitensporig tekort wordt vastgesteld</w:t>
      </w:r>
      <w:r w:rsidR="00DA1869">
        <w:rPr>
          <w:rFonts w:ascii="Verdana" w:hAnsi="Verdana" w:eastAsia="Times New Roman"/>
          <w:sz w:val="18"/>
          <w:szCs w:val="18"/>
          <w:lang w:eastAsia="nl-NL"/>
        </w:rPr>
        <w:t>. Weliswaar wa</w:t>
      </w:r>
      <w:r w:rsidRPr="008D06E2" w:rsidR="00F871DE">
        <w:rPr>
          <w:rFonts w:ascii="Verdana" w:hAnsi="Verdana" w:eastAsia="Times New Roman"/>
          <w:sz w:val="18"/>
          <w:szCs w:val="18"/>
          <w:lang w:eastAsia="nl-NL"/>
        </w:rPr>
        <w:t xml:space="preserve">s het overheidstekort </w:t>
      </w:r>
      <w:r w:rsidRPr="00336C35" w:rsidR="00F871DE">
        <w:rPr>
          <w:rFonts w:ascii="Verdana" w:hAnsi="Verdana" w:eastAsia="Times New Roman"/>
          <w:sz w:val="18"/>
          <w:szCs w:val="18"/>
          <w:lang w:eastAsia="nl-NL"/>
        </w:rPr>
        <w:t>3,0%</w:t>
      </w:r>
      <w:r w:rsidRPr="008D06E2" w:rsidR="00F871DE">
        <w:rPr>
          <w:rFonts w:ascii="Verdana" w:hAnsi="Verdana" w:eastAsia="Times New Roman"/>
          <w:sz w:val="18"/>
          <w:szCs w:val="18"/>
          <w:lang w:eastAsia="nl-NL"/>
        </w:rPr>
        <w:t xml:space="preserve"> bbp in 2024</w:t>
      </w:r>
      <w:r w:rsidR="00DA1869">
        <w:rPr>
          <w:rFonts w:ascii="Verdana" w:hAnsi="Verdana" w:eastAsia="Times New Roman"/>
          <w:sz w:val="18"/>
          <w:szCs w:val="18"/>
          <w:lang w:eastAsia="nl-NL"/>
        </w:rPr>
        <w:t>, maar dit zal</w:t>
      </w:r>
      <w:r w:rsidRPr="008D06E2" w:rsidR="00F871DE">
        <w:rPr>
          <w:rFonts w:ascii="Verdana" w:hAnsi="Verdana" w:eastAsia="Times New Roman"/>
          <w:sz w:val="18"/>
          <w:szCs w:val="18"/>
          <w:lang w:eastAsia="nl-NL"/>
        </w:rPr>
        <w:t xml:space="preserve"> naar verwachting </w:t>
      </w:r>
      <w:r w:rsidR="00DA1869">
        <w:rPr>
          <w:rFonts w:ascii="Verdana" w:hAnsi="Verdana" w:eastAsia="Times New Roman"/>
          <w:sz w:val="18"/>
          <w:szCs w:val="18"/>
          <w:lang w:eastAsia="nl-NL"/>
        </w:rPr>
        <w:t xml:space="preserve">dalen naar </w:t>
      </w:r>
      <w:r w:rsidRPr="008D06E2" w:rsidR="00F871DE">
        <w:rPr>
          <w:rFonts w:ascii="Verdana" w:hAnsi="Verdana" w:eastAsia="Times New Roman"/>
          <w:sz w:val="18"/>
          <w:szCs w:val="18"/>
          <w:lang w:eastAsia="nl-NL"/>
        </w:rPr>
        <w:t xml:space="preserve">2,8% in 2025 en </w:t>
      </w:r>
      <w:r w:rsidR="009B268B">
        <w:rPr>
          <w:rFonts w:ascii="Verdana" w:hAnsi="Verdana" w:eastAsia="Times New Roman"/>
          <w:sz w:val="18"/>
          <w:szCs w:val="18"/>
          <w:lang w:eastAsia="nl-NL"/>
        </w:rPr>
        <w:t>stabiel blij</w:t>
      </w:r>
      <w:r w:rsidR="009D1B5E">
        <w:rPr>
          <w:rFonts w:ascii="Verdana" w:hAnsi="Verdana" w:eastAsia="Times New Roman"/>
          <w:sz w:val="18"/>
          <w:szCs w:val="18"/>
          <w:lang w:eastAsia="nl-NL"/>
        </w:rPr>
        <w:t>ven</w:t>
      </w:r>
      <w:r w:rsidR="009B268B">
        <w:rPr>
          <w:rFonts w:ascii="Verdana" w:hAnsi="Verdana" w:eastAsia="Times New Roman"/>
          <w:sz w:val="18"/>
          <w:szCs w:val="18"/>
          <w:lang w:eastAsia="nl-NL"/>
        </w:rPr>
        <w:t xml:space="preserve"> in 2026 op </w:t>
      </w:r>
      <w:r w:rsidRPr="008D06E2" w:rsidR="00F871DE">
        <w:rPr>
          <w:rFonts w:ascii="Verdana" w:hAnsi="Verdana" w:eastAsia="Times New Roman"/>
          <w:sz w:val="18"/>
          <w:szCs w:val="18"/>
          <w:lang w:eastAsia="nl-NL"/>
        </w:rPr>
        <w:t xml:space="preserve">2,8%. </w:t>
      </w:r>
      <w:r w:rsidR="00F169F2">
        <w:rPr>
          <w:rFonts w:ascii="Verdana" w:hAnsi="Verdana" w:eastAsia="Calibri" w:cs="Arial"/>
          <w:sz w:val="18"/>
          <w:szCs w:val="18"/>
        </w:rPr>
        <w:t>D</w:t>
      </w:r>
      <w:r w:rsidRPr="008D06E2">
        <w:rPr>
          <w:rFonts w:ascii="Verdana" w:hAnsi="Verdana" w:eastAsia="Calibri" w:cs="Arial"/>
          <w:sz w:val="18"/>
          <w:szCs w:val="18"/>
        </w:rPr>
        <w:t xml:space="preserve">e overheidsschuld is laag, </w:t>
      </w:r>
      <w:r w:rsidRPr="00336C35">
        <w:rPr>
          <w:rFonts w:ascii="Verdana" w:hAnsi="Verdana" w:eastAsia="Times New Roman"/>
          <w:sz w:val="18"/>
          <w:szCs w:val="18"/>
          <w:lang w:eastAsia="nl-NL"/>
        </w:rPr>
        <w:t>24,1% in 2024,</w:t>
      </w:r>
      <w:r w:rsidR="009D1B5E">
        <w:rPr>
          <w:rFonts w:ascii="Verdana" w:hAnsi="Verdana" w:eastAsia="Times New Roman"/>
          <w:sz w:val="18"/>
          <w:szCs w:val="18"/>
          <w:lang w:eastAsia="nl-NL"/>
        </w:rPr>
        <w:t xml:space="preserve"> en stijgt licht</w:t>
      </w:r>
      <w:r w:rsidRPr="00336C35">
        <w:rPr>
          <w:rFonts w:ascii="Verdana" w:hAnsi="Verdana" w:eastAsia="Times New Roman"/>
          <w:sz w:val="18"/>
          <w:szCs w:val="18"/>
          <w:lang w:eastAsia="nl-NL"/>
        </w:rPr>
        <w:t xml:space="preserve"> 25,1% in 2025 en naar verwachting 27,1% in</w:t>
      </w:r>
      <w:r w:rsidRPr="008D06E2">
        <w:rPr>
          <w:rFonts w:ascii="Verdana" w:hAnsi="Verdana" w:eastAsia="Calibri" w:cs="Arial"/>
          <w:sz w:val="18"/>
          <w:szCs w:val="18"/>
        </w:rPr>
        <w:t xml:space="preserve"> 2026.</w:t>
      </w:r>
      <w:r w:rsidR="00D16706">
        <w:rPr>
          <w:rFonts w:ascii="Verdana" w:hAnsi="Verdana" w:eastAsia="Calibri" w:cs="Arial"/>
          <w:sz w:val="18"/>
          <w:szCs w:val="18"/>
        </w:rPr>
        <w:t xml:space="preserve"> Voor de vereiste </w:t>
      </w:r>
      <w:r w:rsidR="009D1B5E">
        <w:rPr>
          <w:rFonts w:ascii="Verdana" w:hAnsi="Verdana" w:eastAsia="Calibri" w:cs="Arial"/>
          <w:sz w:val="18"/>
          <w:szCs w:val="18"/>
        </w:rPr>
        <w:t>met betrekking tot</w:t>
      </w:r>
      <w:r w:rsidR="00D16706">
        <w:rPr>
          <w:rFonts w:ascii="Verdana" w:hAnsi="Verdana" w:eastAsia="Calibri" w:cs="Arial"/>
          <w:sz w:val="18"/>
          <w:szCs w:val="18"/>
        </w:rPr>
        <w:t xml:space="preserve"> de wisselkoers geldt dat de Bulgaarse lev gedurende ten minste twee jaar niet mag devalueren ten opzichte van de euro, met inachtneming van normale fluctuatiemarges. </w:t>
      </w:r>
      <w:r w:rsidRPr="00F744D3" w:rsidR="00F871DE">
        <w:rPr>
          <w:rFonts w:ascii="Verdana" w:hAnsi="Verdana" w:eastAsia="Times New Roman"/>
          <w:sz w:val="18"/>
          <w:szCs w:val="18"/>
          <w:lang w:eastAsia="nl-NL"/>
        </w:rPr>
        <w:t xml:space="preserve">De wisselkoers van de </w:t>
      </w:r>
      <w:r w:rsidRPr="00F744D3" w:rsidR="00F871DE">
        <w:rPr>
          <w:rFonts w:ascii="Verdana" w:hAnsi="Verdana" w:eastAsia="Calibri" w:cs="Arial"/>
          <w:sz w:val="18"/>
          <w:szCs w:val="18"/>
        </w:rPr>
        <w:t xml:space="preserve">Bulgaarse lev </w:t>
      </w:r>
      <w:r w:rsidRPr="00F744D3" w:rsidR="00F871DE">
        <w:rPr>
          <w:rFonts w:ascii="Verdana" w:hAnsi="Verdana" w:eastAsia="Times New Roman"/>
          <w:sz w:val="18"/>
          <w:szCs w:val="18"/>
          <w:lang w:eastAsia="nl-NL"/>
        </w:rPr>
        <w:t xml:space="preserve">is </w:t>
      </w:r>
      <w:r w:rsidRPr="00F744D3" w:rsidR="00F744D3">
        <w:rPr>
          <w:rFonts w:ascii="Verdana" w:hAnsi="Verdana" w:eastAsia="Times New Roman"/>
          <w:sz w:val="18"/>
          <w:szCs w:val="18"/>
          <w:lang w:eastAsia="nl-NL"/>
        </w:rPr>
        <w:t>de afgelopen twee jaar op de spilkoers binnen</w:t>
      </w:r>
      <w:r w:rsidRPr="00F744D3" w:rsidR="00F871DE">
        <w:rPr>
          <w:rFonts w:ascii="Verdana" w:hAnsi="Verdana" w:eastAsia="Times New Roman"/>
          <w:sz w:val="18"/>
          <w:szCs w:val="18"/>
          <w:lang w:eastAsia="nl-NL"/>
        </w:rPr>
        <w:t xml:space="preserve"> </w:t>
      </w:r>
      <w:r w:rsidRPr="00F744D3" w:rsidR="004B7EEE">
        <w:rPr>
          <w:rFonts w:ascii="Verdana" w:hAnsi="Verdana" w:eastAsia="Times New Roman"/>
          <w:sz w:val="18"/>
          <w:szCs w:val="18"/>
          <w:lang w:eastAsia="nl-NL"/>
        </w:rPr>
        <w:t xml:space="preserve">het wisselkoersregime </w:t>
      </w:r>
      <w:r w:rsidRPr="00F744D3" w:rsidR="00F871DE">
        <w:rPr>
          <w:rFonts w:ascii="Verdana" w:hAnsi="Verdana" w:eastAsia="Times New Roman"/>
          <w:sz w:val="18"/>
          <w:szCs w:val="18"/>
          <w:lang w:eastAsia="nl-NL"/>
        </w:rPr>
        <w:t>ERM-II gebleven</w:t>
      </w:r>
      <w:r w:rsidRPr="00F744D3" w:rsidR="00F744D3">
        <w:rPr>
          <w:rFonts w:ascii="Verdana" w:hAnsi="Verdana" w:eastAsia="Times New Roman"/>
          <w:sz w:val="18"/>
          <w:szCs w:val="18"/>
          <w:lang w:eastAsia="nl-NL"/>
        </w:rPr>
        <w:t xml:space="preserve"> zonder signalen van spanning of devaluatie ten opzichte van de euro</w:t>
      </w:r>
      <w:r w:rsidRPr="00F744D3" w:rsidR="00F871DE">
        <w:rPr>
          <w:rFonts w:ascii="Verdana" w:hAnsi="Verdana" w:eastAsia="Times New Roman"/>
          <w:sz w:val="18"/>
          <w:szCs w:val="18"/>
          <w:lang w:eastAsia="nl-NL"/>
        </w:rPr>
        <w:t>.</w:t>
      </w:r>
      <w:r w:rsidRPr="008D06E2" w:rsidR="00F871DE">
        <w:rPr>
          <w:rFonts w:ascii="Verdana" w:hAnsi="Verdana" w:eastAsia="Times New Roman"/>
          <w:sz w:val="18"/>
          <w:szCs w:val="18"/>
          <w:lang w:eastAsia="nl-NL"/>
        </w:rPr>
        <w:t xml:space="preserve"> </w:t>
      </w:r>
      <w:r w:rsidR="00DA1869">
        <w:rPr>
          <w:rFonts w:ascii="Verdana" w:hAnsi="Verdana" w:eastAsia="Times New Roman"/>
          <w:sz w:val="18"/>
          <w:szCs w:val="18"/>
          <w:lang w:eastAsia="nl-NL"/>
        </w:rPr>
        <w:t>Met betrekking tot</w:t>
      </w:r>
      <w:r w:rsidRPr="008D06E2" w:rsidR="00F871DE">
        <w:rPr>
          <w:rFonts w:ascii="Verdana" w:hAnsi="Verdana" w:eastAsia="Times New Roman"/>
          <w:sz w:val="18"/>
          <w:szCs w:val="18"/>
          <w:lang w:eastAsia="nl-NL"/>
        </w:rPr>
        <w:t xml:space="preserve"> de inflatie is de </w:t>
      </w:r>
      <w:r w:rsidR="00DA1869">
        <w:rPr>
          <w:rFonts w:ascii="Verdana" w:hAnsi="Verdana" w:eastAsia="Times New Roman"/>
          <w:sz w:val="18"/>
          <w:szCs w:val="18"/>
          <w:lang w:eastAsia="nl-NL"/>
        </w:rPr>
        <w:t xml:space="preserve">voorwaarde </w:t>
      </w:r>
      <w:r w:rsidRPr="008D06E2" w:rsidR="00F871DE">
        <w:rPr>
          <w:rFonts w:ascii="Verdana" w:hAnsi="Verdana" w:eastAsia="Times New Roman"/>
          <w:sz w:val="18"/>
          <w:szCs w:val="18"/>
          <w:lang w:eastAsia="nl-NL"/>
        </w:rPr>
        <w:t xml:space="preserve">dat de inflatie (de jaar-op-jaar mutatie van de consumentenprijsindex) niet meer dan 1,5%-punt hoger mag liggen dan de inflatie in de drie lidstaten met de laagste inflatie in de eurozone in de </w:t>
      </w:r>
      <w:r w:rsidRPr="008D06E2" w:rsidR="00F871DE">
        <w:rPr>
          <w:rFonts w:ascii="Verdana" w:hAnsi="Verdana" w:eastAsia="Times New Roman"/>
          <w:sz w:val="18"/>
          <w:szCs w:val="18"/>
          <w:lang w:eastAsia="nl-NL"/>
        </w:rPr>
        <w:lastRenderedPageBreak/>
        <w:t xml:space="preserve">voorafgaande 12 maanden. Derhalve vergelijkt de Commissie de inflatie in Bulgarije in de afgelopen 12 maanden met de gemiddelde inflatie in </w:t>
      </w:r>
      <w:r w:rsidR="00B37352">
        <w:rPr>
          <w:rFonts w:ascii="Verdana" w:hAnsi="Verdana" w:eastAsia="Times New Roman"/>
          <w:sz w:val="18"/>
          <w:szCs w:val="18"/>
          <w:lang w:eastAsia="nl-NL"/>
        </w:rPr>
        <w:t>Ierland</w:t>
      </w:r>
      <w:r w:rsidRPr="00B37352" w:rsidR="00B37352">
        <w:rPr>
          <w:rFonts w:ascii="Verdana" w:hAnsi="Verdana" w:eastAsia="Times New Roman"/>
          <w:sz w:val="18"/>
          <w:szCs w:val="18"/>
          <w:lang w:eastAsia="nl-NL"/>
        </w:rPr>
        <w:t xml:space="preserve">, </w:t>
      </w:r>
      <w:r w:rsidR="00B37352">
        <w:rPr>
          <w:rFonts w:ascii="Verdana" w:hAnsi="Verdana" w:eastAsia="Times New Roman"/>
          <w:sz w:val="18"/>
          <w:szCs w:val="18"/>
          <w:lang w:eastAsia="nl-NL"/>
        </w:rPr>
        <w:t>Finland en Itali</w:t>
      </w:r>
      <w:r w:rsidR="00B37F4B">
        <w:rPr>
          <w:rFonts w:ascii="Verdana" w:hAnsi="Verdana" w:eastAsia="Times New Roman"/>
          <w:sz w:val="18"/>
          <w:szCs w:val="18"/>
          <w:lang w:eastAsia="nl-NL"/>
        </w:rPr>
        <w:t>ë</w:t>
      </w:r>
      <w:r w:rsidRPr="008D06E2" w:rsidR="00F871DE">
        <w:rPr>
          <w:rFonts w:ascii="Verdana" w:hAnsi="Verdana" w:eastAsia="Times New Roman"/>
          <w:sz w:val="18"/>
          <w:szCs w:val="18"/>
          <w:lang w:eastAsia="nl-NL"/>
        </w:rPr>
        <w:t xml:space="preserve">. </w:t>
      </w:r>
      <w:r w:rsidR="00DA1869">
        <w:rPr>
          <w:rFonts w:ascii="Verdana" w:hAnsi="Verdana" w:eastAsia="Times New Roman"/>
          <w:sz w:val="18"/>
          <w:szCs w:val="18"/>
          <w:lang w:eastAsia="nl-NL"/>
        </w:rPr>
        <w:t xml:space="preserve">Die </w:t>
      </w:r>
      <w:r w:rsidR="00F744D3">
        <w:rPr>
          <w:rFonts w:ascii="Verdana" w:hAnsi="Verdana" w:eastAsia="Times New Roman"/>
          <w:sz w:val="18"/>
          <w:szCs w:val="18"/>
          <w:lang w:eastAsia="nl-NL"/>
        </w:rPr>
        <w:t>was</w:t>
      </w:r>
      <w:r w:rsidR="00DA1869">
        <w:rPr>
          <w:rFonts w:ascii="Verdana" w:hAnsi="Verdana" w:eastAsia="Times New Roman"/>
          <w:sz w:val="18"/>
          <w:szCs w:val="18"/>
          <w:lang w:eastAsia="nl-NL"/>
        </w:rPr>
        <w:t xml:space="preserve"> </w:t>
      </w:r>
      <w:r w:rsidR="00424063">
        <w:rPr>
          <w:rFonts w:ascii="Verdana" w:hAnsi="Verdana" w:eastAsia="Times New Roman"/>
          <w:sz w:val="18"/>
          <w:szCs w:val="18"/>
          <w:lang w:eastAsia="nl-NL"/>
        </w:rPr>
        <w:t>1</w:t>
      </w:r>
      <w:r w:rsidR="00B37352">
        <w:rPr>
          <w:rFonts w:ascii="Verdana" w:hAnsi="Verdana" w:eastAsia="Times New Roman"/>
          <w:sz w:val="18"/>
          <w:szCs w:val="18"/>
          <w:lang w:eastAsia="nl-NL"/>
        </w:rPr>
        <w:t>,</w:t>
      </w:r>
      <w:r w:rsidR="00424063">
        <w:rPr>
          <w:rFonts w:ascii="Verdana" w:hAnsi="Verdana" w:eastAsia="Times New Roman"/>
          <w:sz w:val="18"/>
          <w:szCs w:val="18"/>
          <w:lang w:eastAsia="nl-NL"/>
        </w:rPr>
        <w:t>3</w:t>
      </w:r>
      <w:r w:rsidR="00DA1869">
        <w:rPr>
          <w:rFonts w:ascii="Verdana" w:hAnsi="Verdana" w:eastAsia="Times New Roman"/>
          <w:sz w:val="18"/>
          <w:szCs w:val="18"/>
          <w:lang w:eastAsia="nl-NL"/>
        </w:rPr>
        <w:t>%.</w:t>
      </w:r>
      <w:r w:rsidR="00424063">
        <w:rPr>
          <w:rFonts w:ascii="Verdana" w:hAnsi="Verdana" w:eastAsia="Times New Roman"/>
          <w:sz w:val="18"/>
          <w:szCs w:val="18"/>
          <w:lang w:eastAsia="nl-NL"/>
        </w:rPr>
        <w:t xml:space="preserve"> Vermeerderd met de maximale verhoging van 1,5%-punt is de referentiewaarde waarmee de Bulgaarse inflatie wordt vergeleken dus 2,8%.</w:t>
      </w:r>
      <w:r w:rsidR="00DA1869">
        <w:rPr>
          <w:rFonts w:ascii="Verdana" w:hAnsi="Verdana" w:eastAsia="Times New Roman"/>
          <w:sz w:val="18"/>
          <w:szCs w:val="18"/>
          <w:lang w:eastAsia="nl-NL"/>
        </w:rPr>
        <w:t xml:space="preserve"> </w:t>
      </w:r>
      <w:r w:rsidRPr="008D06E2" w:rsidR="00F871DE">
        <w:rPr>
          <w:rFonts w:ascii="Verdana" w:hAnsi="Verdana" w:eastAsia="Times New Roman"/>
          <w:sz w:val="18"/>
          <w:szCs w:val="18"/>
          <w:lang w:eastAsia="nl-NL"/>
        </w:rPr>
        <w:t xml:space="preserve">De inflatie in Bulgarije </w:t>
      </w:r>
      <w:r w:rsidR="00424063">
        <w:rPr>
          <w:rFonts w:ascii="Verdana" w:hAnsi="Verdana" w:eastAsia="Times New Roman"/>
          <w:sz w:val="18"/>
          <w:szCs w:val="18"/>
          <w:lang w:eastAsia="nl-NL"/>
        </w:rPr>
        <w:t>lag</w:t>
      </w:r>
      <w:r w:rsidR="00DA1869">
        <w:rPr>
          <w:rFonts w:ascii="Verdana" w:hAnsi="Verdana" w:eastAsia="Times New Roman"/>
          <w:sz w:val="18"/>
          <w:szCs w:val="18"/>
          <w:lang w:eastAsia="nl-NL"/>
        </w:rPr>
        <w:t xml:space="preserve"> </w:t>
      </w:r>
      <w:r w:rsidRPr="008D06E2" w:rsidR="00F871DE">
        <w:rPr>
          <w:rFonts w:ascii="Verdana" w:hAnsi="Verdana" w:eastAsia="Times New Roman"/>
          <w:sz w:val="18"/>
          <w:szCs w:val="18"/>
          <w:lang w:eastAsia="nl-NL"/>
        </w:rPr>
        <w:t xml:space="preserve">daar </w:t>
      </w:r>
      <w:r w:rsidR="00DA1869">
        <w:rPr>
          <w:rFonts w:ascii="Verdana" w:hAnsi="Verdana" w:eastAsia="Times New Roman"/>
          <w:sz w:val="18"/>
          <w:szCs w:val="18"/>
          <w:lang w:eastAsia="nl-NL"/>
        </w:rPr>
        <w:t xml:space="preserve">met </w:t>
      </w:r>
      <w:r w:rsidR="00B37352">
        <w:rPr>
          <w:rFonts w:ascii="Verdana" w:hAnsi="Verdana" w:eastAsia="Times New Roman"/>
          <w:sz w:val="18"/>
          <w:szCs w:val="18"/>
          <w:lang w:eastAsia="nl-NL"/>
        </w:rPr>
        <w:t>2,7</w:t>
      </w:r>
      <w:r w:rsidR="00DA1869">
        <w:rPr>
          <w:rFonts w:ascii="Verdana" w:hAnsi="Verdana" w:eastAsia="Times New Roman"/>
          <w:sz w:val="18"/>
          <w:szCs w:val="18"/>
          <w:lang w:eastAsia="nl-NL"/>
        </w:rPr>
        <w:t>%</w:t>
      </w:r>
      <w:r w:rsidR="004D3F35">
        <w:rPr>
          <w:rFonts w:ascii="Verdana" w:hAnsi="Verdana" w:eastAsia="Times New Roman"/>
          <w:sz w:val="18"/>
          <w:szCs w:val="18"/>
          <w:lang w:eastAsia="nl-NL"/>
        </w:rPr>
        <w:t xml:space="preserve"> </w:t>
      </w:r>
      <w:r w:rsidR="00F744D3">
        <w:rPr>
          <w:rFonts w:ascii="Verdana" w:hAnsi="Verdana" w:eastAsia="Times New Roman"/>
          <w:sz w:val="18"/>
          <w:szCs w:val="18"/>
          <w:lang w:eastAsia="nl-NL"/>
        </w:rPr>
        <w:t>onder</w:t>
      </w:r>
      <w:r w:rsidRPr="008D06E2" w:rsidR="00F871DE">
        <w:rPr>
          <w:rFonts w:ascii="Verdana" w:hAnsi="Verdana" w:eastAsia="Times New Roman"/>
          <w:sz w:val="18"/>
          <w:szCs w:val="18"/>
          <w:lang w:eastAsia="nl-NL"/>
        </w:rPr>
        <w:t xml:space="preserve">. </w:t>
      </w:r>
    </w:p>
    <w:p w:rsidRPr="008D06E2" w:rsidR="00220B58" w:rsidP="00672498" w:rsidRDefault="00220B58" w14:paraId="3AF13A4B" w14:textId="16A5114E">
      <w:pPr>
        <w:spacing w:line="240" w:lineRule="atLeast"/>
        <w:rPr>
          <w:rStyle w:val="normaltextrun"/>
          <w:rFonts w:ascii="Verdana" w:hAnsi="Verdana" w:eastAsia="Times New Roman"/>
          <w:sz w:val="18"/>
          <w:szCs w:val="18"/>
          <w:lang w:eastAsia="nl-NL"/>
        </w:rPr>
      </w:pPr>
      <w:r w:rsidRPr="00220B58">
        <w:rPr>
          <w:rFonts w:ascii="Verdana" w:hAnsi="Verdana" w:eastAsia="Times New Roman"/>
          <w:sz w:val="18"/>
          <w:szCs w:val="18"/>
          <w:lang w:eastAsia="nl-NL"/>
        </w:rPr>
        <w:t>Ook is gekeken of de nationale wetgeving compatibel is met de EU-verdragen en het protocol betreffende het statuut van het Europees Systeem van Centrale Banken en de ECB en of de statuten van de nationale centrale bank voldoen om integraal onderdeel te worden van het Eurosysteem.</w:t>
      </w:r>
      <w:r>
        <w:rPr>
          <w:rFonts w:ascii="Verdana" w:hAnsi="Verdana" w:eastAsia="Times New Roman"/>
          <w:sz w:val="18"/>
          <w:szCs w:val="18"/>
          <w:lang w:eastAsia="nl-NL"/>
        </w:rPr>
        <w:t xml:space="preserve"> </w:t>
      </w:r>
      <w:r w:rsidRPr="00F725C3">
        <w:rPr>
          <w:rFonts w:ascii="Verdana" w:hAnsi="Verdana" w:cs="Arial"/>
          <w:sz w:val="18"/>
        </w:rPr>
        <w:t xml:space="preserve">Om die reden bevat de onlangs aangenomen </w:t>
      </w:r>
      <w:r>
        <w:rPr>
          <w:rFonts w:ascii="Verdana" w:hAnsi="Verdana" w:cs="Arial"/>
          <w:sz w:val="18"/>
        </w:rPr>
        <w:t xml:space="preserve">Bulgaarse </w:t>
      </w:r>
      <w:r w:rsidRPr="00F725C3">
        <w:rPr>
          <w:rFonts w:ascii="Verdana" w:hAnsi="Verdana" w:cs="Arial"/>
          <w:sz w:val="18"/>
        </w:rPr>
        <w:t xml:space="preserve">begrotingswet een amendement dat vereist dat de gouverneur van de Bulgaarse </w:t>
      </w:r>
      <w:r w:rsidR="0019016C">
        <w:rPr>
          <w:rFonts w:ascii="Verdana" w:hAnsi="Verdana" w:cs="Arial"/>
          <w:sz w:val="18"/>
        </w:rPr>
        <w:t>C</w:t>
      </w:r>
      <w:r w:rsidRPr="00F725C3">
        <w:rPr>
          <w:rFonts w:ascii="Verdana" w:hAnsi="Verdana" w:cs="Arial"/>
          <w:sz w:val="18"/>
        </w:rPr>
        <w:t>entrale Bank aftreedt als hij wordt benoemd tot interim-premier.</w:t>
      </w:r>
      <w:r>
        <w:rPr>
          <w:rFonts w:ascii="Verdana" w:hAnsi="Verdana" w:cs="Arial"/>
          <w:sz w:val="18"/>
        </w:rPr>
        <w:t xml:space="preserve"> Hiermee is de nationale wetgeving </w:t>
      </w:r>
      <w:r w:rsidR="00E600A6">
        <w:rPr>
          <w:rFonts w:ascii="Verdana" w:hAnsi="Verdana" w:cs="Arial"/>
          <w:sz w:val="18"/>
        </w:rPr>
        <w:t xml:space="preserve">in de ogen van de instellingen </w:t>
      </w:r>
      <w:r>
        <w:rPr>
          <w:rFonts w:ascii="Verdana" w:hAnsi="Verdana" w:cs="Arial"/>
          <w:sz w:val="18"/>
        </w:rPr>
        <w:t>compatibe</w:t>
      </w:r>
      <w:r w:rsidR="00935566">
        <w:rPr>
          <w:rFonts w:ascii="Verdana" w:hAnsi="Verdana" w:cs="Arial"/>
          <w:sz w:val="18"/>
        </w:rPr>
        <w:t>l</w:t>
      </w:r>
      <w:r>
        <w:rPr>
          <w:rFonts w:ascii="Verdana" w:hAnsi="Verdana" w:cs="Arial"/>
          <w:sz w:val="18"/>
        </w:rPr>
        <w:t xml:space="preserve"> met de EU-verdragen. </w:t>
      </w:r>
    </w:p>
    <w:p w:rsidR="00F871DE" w:rsidP="00672498" w:rsidRDefault="00E5464C" w14:paraId="1D11286A" w14:textId="3E2BBB80">
      <w:pPr>
        <w:spacing w:line="240" w:lineRule="atLeast"/>
        <w:rPr>
          <w:rFonts w:ascii="Verdana" w:hAnsi="Verdana"/>
          <w:sz w:val="18"/>
          <w:szCs w:val="18"/>
        </w:rPr>
      </w:pPr>
      <w:r w:rsidRPr="008D06E2">
        <w:rPr>
          <w:rFonts w:ascii="Verdana" w:hAnsi="Verdana" w:eastAsia="Times New Roman"/>
          <w:sz w:val="18"/>
          <w:szCs w:val="18"/>
          <w:lang w:eastAsia="nl-NL"/>
        </w:rPr>
        <w:t>Bulgarije heeft bij toetreding tot het ERM-II wisselkoersmechanisme in juli 2020</w:t>
      </w:r>
      <w:r w:rsidR="00E600A6">
        <w:rPr>
          <w:rFonts w:ascii="Verdana" w:hAnsi="Verdana" w:eastAsia="Times New Roman"/>
          <w:sz w:val="18"/>
          <w:szCs w:val="18"/>
          <w:lang w:eastAsia="nl-NL"/>
        </w:rPr>
        <w:t xml:space="preserve"> een aantal toezeggingen gedaan om de aanloop naar eurotoetreding de financieel-economische situatie te versterken</w:t>
      </w:r>
      <w:r w:rsidR="00066B65">
        <w:rPr>
          <w:rFonts w:ascii="Verdana" w:hAnsi="Verdana" w:eastAsia="Times New Roman"/>
          <w:sz w:val="18"/>
          <w:szCs w:val="18"/>
          <w:lang w:eastAsia="nl-NL"/>
        </w:rPr>
        <w:t>.</w:t>
      </w:r>
      <w:r w:rsidRPr="008D06E2" w:rsidR="00F871DE">
        <w:rPr>
          <w:rFonts w:ascii="Verdana" w:hAnsi="Verdana"/>
          <w:sz w:val="18"/>
          <w:szCs w:val="18"/>
        </w:rPr>
        <w:t xml:space="preserve"> De</w:t>
      </w:r>
      <w:r w:rsidR="00066B65">
        <w:rPr>
          <w:rFonts w:ascii="Verdana" w:hAnsi="Verdana"/>
          <w:sz w:val="18"/>
          <w:szCs w:val="18"/>
        </w:rPr>
        <w:t>ze zogenaamde post-entry</w:t>
      </w:r>
      <w:r w:rsidRPr="008D06E2" w:rsidR="00F871DE">
        <w:rPr>
          <w:rFonts w:ascii="Verdana" w:hAnsi="Verdana"/>
          <w:sz w:val="18"/>
          <w:szCs w:val="18"/>
        </w:rPr>
        <w:t xml:space="preserve"> toezeggingen zagen op maatregelen met betrekking tot het bestrijden van witwassen, het hervormen van de niet-bancaire sector, beter bestuur van staatsdeelnemingen en versterking van de nationale insolventiewetgeving. </w:t>
      </w:r>
      <w:r w:rsidR="00703773">
        <w:rPr>
          <w:rFonts w:ascii="Verdana" w:hAnsi="Verdana"/>
          <w:sz w:val="18"/>
          <w:szCs w:val="18"/>
        </w:rPr>
        <w:t>D</w:t>
      </w:r>
      <w:r w:rsidRPr="1851B698" w:rsidR="00703773">
        <w:rPr>
          <w:rFonts w:ascii="Verdana" w:hAnsi="Verdana"/>
          <w:sz w:val="18"/>
          <w:szCs w:val="18"/>
        </w:rPr>
        <w:t>e</w:t>
      </w:r>
      <w:r w:rsidR="00E600A6">
        <w:rPr>
          <w:rFonts w:ascii="Verdana" w:hAnsi="Verdana"/>
          <w:sz w:val="18"/>
          <w:szCs w:val="18"/>
        </w:rPr>
        <w:t>ze</w:t>
      </w:r>
      <w:r w:rsidRPr="1851B698" w:rsidR="00703773">
        <w:rPr>
          <w:rFonts w:ascii="Verdana" w:hAnsi="Verdana"/>
          <w:sz w:val="18"/>
          <w:szCs w:val="18"/>
        </w:rPr>
        <w:t xml:space="preserve"> post-entry toezeggingen </w:t>
      </w:r>
      <w:r w:rsidR="00703773">
        <w:rPr>
          <w:rFonts w:ascii="Verdana" w:hAnsi="Verdana"/>
          <w:sz w:val="18"/>
          <w:szCs w:val="18"/>
        </w:rPr>
        <w:t xml:space="preserve">vormen </w:t>
      </w:r>
      <w:r w:rsidRPr="1851B698" w:rsidR="00703773">
        <w:rPr>
          <w:rFonts w:ascii="Verdana" w:hAnsi="Verdana"/>
          <w:sz w:val="18"/>
          <w:szCs w:val="18"/>
        </w:rPr>
        <w:t>geen juridische voorwaarde voor eurotoetreding.</w:t>
      </w:r>
      <w:r w:rsidRPr="008D06E2" w:rsidR="00F871DE">
        <w:rPr>
          <w:rFonts w:ascii="Verdana" w:hAnsi="Verdana"/>
          <w:sz w:val="18"/>
          <w:szCs w:val="18"/>
        </w:rPr>
        <w:t xml:space="preserve"> De Europese Commissie heeft in het Economisch en Financieel Comité aangegeven dat Bulgarije naar tevredenheid aan al deze toezeggingen heeft voldaan en zal dit oordeel bij de Ecofinraad waarschijnlijk herhalen. </w:t>
      </w:r>
    </w:p>
    <w:p w:rsidR="00424063" w:rsidP="00672498" w:rsidRDefault="00424063" w14:paraId="5AB331A1" w14:textId="7B785955">
      <w:pPr>
        <w:spacing w:line="240" w:lineRule="atLeast"/>
        <w:rPr>
          <w:rFonts w:ascii="Verdana" w:hAnsi="Verdana"/>
          <w:sz w:val="18"/>
          <w:szCs w:val="18"/>
        </w:rPr>
      </w:pPr>
      <w:bookmarkStart w:name="_Hlk199254066" w:id="3"/>
      <w:r>
        <w:rPr>
          <w:rFonts w:ascii="Verdana" w:hAnsi="Verdana"/>
          <w:sz w:val="18"/>
          <w:szCs w:val="18"/>
        </w:rPr>
        <w:t>Op basis van bovenstaande stelt de Commissie aan de Raad voor om Bulgarije de euro in te laten voeren per 1 januari 2026.</w:t>
      </w:r>
    </w:p>
    <w:p w:rsidRPr="008D06E2" w:rsidR="00703773" w:rsidP="00672498" w:rsidRDefault="00703773" w14:paraId="7C4F09B9" w14:textId="380DFB72">
      <w:pPr>
        <w:spacing w:line="240" w:lineRule="atLeast"/>
        <w:rPr>
          <w:rFonts w:ascii="Verdana" w:hAnsi="Verdana"/>
          <w:sz w:val="18"/>
          <w:szCs w:val="18"/>
        </w:rPr>
      </w:pPr>
      <w:r w:rsidRPr="008D06E2">
        <w:rPr>
          <w:rFonts w:ascii="Verdana" w:hAnsi="Verdana"/>
          <w:sz w:val="18"/>
          <w:szCs w:val="18"/>
        </w:rPr>
        <w:t xml:space="preserve">Nederland </w:t>
      </w:r>
      <w:r w:rsidR="00E600A6">
        <w:rPr>
          <w:rFonts w:ascii="Verdana" w:hAnsi="Verdana"/>
          <w:sz w:val="18"/>
          <w:szCs w:val="18"/>
        </w:rPr>
        <w:t>vindt dat</w:t>
      </w:r>
      <w:r w:rsidRPr="008D06E2">
        <w:rPr>
          <w:rFonts w:ascii="Verdana" w:hAnsi="Verdana"/>
          <w:sz w:val="18"/>
          <w:szCs w:val="18"/>
        </w:rPr>
        <w:t xml:space="preserve"> EU-lidstaten tot de eurozone </w:t>
      </w:r>
      <w:r w:rsidR="00E600A6">
        <w:rPr>
          <w:rFonts w:ascii="Verdana" w:hAnsi="Verdana"/>
          <w:sz w:val="18"/>
          <w:szCs w:val="18"/>
        </w:rPr>
        <w:t xml:space="preserve">toe kunnen treden </w:t>
      </w:r>
      <w:r w:rsidRPr="008D06E2">
        <w:rPr>
          <w:rFonts w:ascii="Verdana" w:hAnsi="Verdana"/>
          <w:sz w:val="18"/>
          <w:szCs w:val="18"/>
        </w:rPr>
        <w:t xml:space="preserve">als deze aan de voorwaarden voldoen. </w:t>
      </w:r>
      <w:r w:rsidR="00E600A6">
        <w:rPr>
          <w:rFonts w:ascii="Verdana" w:hAnsi="Verdana"/>
          <w:sz w:val="18"/>
          <w:szCs w:val="18"/>
        </w:rPr>
        <w:t>Bulgarije voldoet nu aan</w:t>
      </w:r>
      <w:r w:rsidRPr="008D06E2" w:rsidR="00E600A6">
        <w:rPr>
          <w:rFonts w:ascii="Verdana" w:hAnsi="Verdana"/>
          <w:sz w:val="18"/>
          <w:szCs w:val="18"/>
        </w:rPr>
        <w:t xml:space="preserve"> </w:t>
      </w:r>
      <w:r w:rsidRPr="008D06E2">
        <w:rPr>
          <w:rFonts w:ascii="Verdana" w:hAnsi="Verdana"/>
          <w:sz w:val="18"/>
          <w:szCs w:val="18"/>
        </w:rPr>
        <w:t xml:space="preserve">de convergentiecriteria </w:t>
      </w:r>
      <w:r w:rsidR="00E600A6">
        <w:rPr>
          <w:rFonts w:ascii="Verdana" w:hAnsi="Verdana"/>
          <w:sz w:val="18"/>
          <w:szCs w:val="18"/>
        </w:rPr>
        <w:t>en de juridische voorwaarden</w:t>
      </w:r>
      <w:r w:rsidRPr="008D06E2">
        <w:rPr>
          <w:rFonts w:ascii="Verdana" w:hAnsi="Verdana"/>
          <w:sz w:val="18"/>
          <w:szCs w:val="18"/>
        </w:rPr>
        <w:t xml:space="preserve">. Naast de formele eisen met betrekking tot rente, inflatie, wisselkoers en overheidsfinanciën heeft Bulgarije de afgelopen jaren hervormingen doorgevoerd conform de </w:t>
      </w:r>
      <w:r w:rsidR="004B7EEE">
        <w:rPr>
          <w:rFonts w:ascii="Verdana" w:hAnsi="Verdana"/>
          <w:sz w:val="18"/>
          <w:szCs w:val="18"/>
        </w:rPr>
        <w:t>toezeggingen</w:t>
      </w:r>
      <w:r w:rsidRPr="008D06E2" w:rsidR="004B7EEE">
        <w:rPr>
          <w:rFonts w:ascii="Verdana" w:hAnsi="Verdana"/>
          <w:sz w:val="18"/>
          <w:szCs w:val="18"/>
        </w:rPr>
        <w:t xml:space="preserve"> </w:t>
      </w:r>
      <w:r w:rsidRPr="008D06E2">
        <w:rPr>
          <w:rFonts w:ascii="Verdana" w:hAnsi="Verdana"/>
          <w:sz w:val="18"/>
          <w:szCs w:val="18"/>
        </w:rPr>
        <w:t xml:space="preserve">die zijn </w:t>
      </w:r>
      <w:r w:rsidR="004B7EEE">
        <w:rPr>
          <w:rFonts w:ascii="Verdana" w:hAnsi="Verdana"/>
          <w:sz w:val="18"/>
          <w:szCs w:val="18"/>
        </w:rPr>
        <w:t>gedaan</w:t>
      </w:r>
      <w:r w:rsidRPr="008D06E2" w:rsidR="004B7EEE">
        <w:rPr>
          <w:rFonts w:ascii="Verdana" w:hAnsi="Verdana"/>
          <w:sz w:val="18"/>
          <w:szCs w:val="18"/>
        </w:rPr>
        <w:t xml:space="preserve"> </w:t>
      </w:r>
      <w:r w:rsidRPr="008D06E2">
        <w:rPr>
          <w:rFonts w:ascii="Verdana" w:hAnsi="Verdana"/>
          <w:sz w:val="18"/>
          <w:szCs w:val="18"/>
        </w:rPr>
        <w:t xml:space="preserve">bij ERM-II-toetreding. Op basis van de convergentierapporten van de Commissie en de ECB en het oordeel dat Bulgarije aan de </w:t>
      </w:r>
      <w:r>
        <w:rPr>
          <w:rFonts w:ascii="Verdana" w:hAnsi="Verdana"/>
          <w:sz w:val="18"/>
          <w:szCs w:val="18"/>
        </w:rPr>
        <w:t xml:space="preserve">post-entry </w:t>
      </w:r>
      <w:r w:rsidRPr="008D06E2">
        <w:rPr>
          <w:rFonts w:ascii="Verdana" w:hAnsi="Verdana"/>
          <w:sz w:val="18"/>
          <w:szCs w:val="18"/>
        </w:rPr>
        <w:t>toezeggingen heeft voldaan</w:t>
      </w:r>
      <w:r w:rsidR="00672498">
        <w:rPr>
          <w:rFonts w:ascii="Verdana" w:hAnsi="Verdana"/>
          <w:sz w:val="18"/>
          <w:szCs w:val="18"/>
        </w:rPr>
        <w:t>,</w:t>
      </w:r>
      <w:r w:rsidRPr="008D06E2">
        <w:rPr>
          <w:rFonts w:ascii="Verdana" w:hAnsi="Verdana"/>
          <w:sz w:val="18"/>
          <w:szCs w:val="18"/>
        </w:rPr>
        <w:t xml:space="preserve"> ziet Nederland voldoende reden om in te </w:t>
      </w:r>
      <w:r>
        <w:rPr>
          <w:rFonts w:ascii="Verdana" w:hAnsi="Verdana"/>
          <w:sz w:val="18"/>
          <w:szCs w:val="18"/>
        </w:rPr>
        <w:t xml:space="preserve">kunnen </w:t>
      </w:r>
      <w:r w:rsidRPr="008D06E2">
        <w:rPr>
          <w:rFonts w:ascii="Verdana" w:hAnsi="Verdana"/>
          <w:sz w:val="18"/>
          <w:szCs w:val="18"/>
        </w:rPr>
        <w:t xml:space="preserve">stemmen met euro-toetreding van Bulgarije per 1 januari 2026. Nederland </w:t>
      </w:r>
      <w:r w:rsidR="00B201A3">
        <w:rPr>
          <w:rFonts w:ascii="Verdana" w:hAnsi="Verdana"/>
          <w:sz w:val="18"/>
          <w:szCs w:val="18"/>
        </w:rPr>
        <w:t>kan</w:t>
      </w:r>
      <w:r w:rsidRPr="008D06E2">
        <w:rPr>
          <w:rFonts w:ascii="Verdana" w:hAnsi="Verdana"/>
          <w:sz w:val="18"/>
          <w:szCs w:val="18"/>
        </w:rPr>
        <w:t xml:space="preserve"> </w:t>
      </w:r>
      <w:r w:rsidR="0019016C">
        <w:rPr>
          <w:rFonts w:ascii="Verdana" w:hAnsi="Verdana"/>
          <w:sz w:val="18"/>
          <w:szCs w:val="18"/>
        </w:rPr>
        <w:t>derhalve</w:t>
      </w:r>
      <w:r w:rsidRPr="008D06E2">
        <w:rPr>
          <w:rFonts w:ascii="Verdana" w:hAnsi="Verdana"/>
          <w:sz w:val="18"/>
          <w:szCs w:val="18"/>
        </w:rPr>
        <w:t xml:space="preserve"> instemmen met </w:t>
      </w:r>
      <w:r w:rsidR="00DC6AD9">
        <w:rPr>
          <w:rFonts w:ascii="Verdana" w:hAnsi="Verdana"/>
          <w:sz w:val="18"/>
          <w:szCs w:val="18"/>
        </w:rPr>
        <w:t>een positieve</w:t>
      </w:r>
      <w:r w:rsidRPr="008D06E2" w:rsidR="00DC6AD9">
        <w:rPr>
          <w:rFonts w:ascii="Verdana" w:hAnsi="Verdana"/>
          <w:sz w:val="18"/>
          <w:szCs w:val="18"/>
        </w:rPr>
        <w:t xml:space="preserve"> </w:t>
      </w:r>
      <w:r w:rsidRPr="008D06E2">
        <w:rPr>
          <w:rFonts w:ascii="Verdana" w:hAnsi="Verdana"/>
          <w:sz w:val="18"/>
          <w:szCs w:val="18"/>
        </w:rPr>
        <w:t xml:space="preserve">aanbeveling van de eurolanden aan de Raad en met de brief van de voorzitter van de Raad aan de voorzitter van de Europese Raad hierover. </w:t>
      </w:r>
      <w:bookmarkEnd w:id="3"/>
    </w:p>
    <w:p w:rsidR="0096787C" w:rsidP="00672498" w:rsidRDefault="00F871DE" w14:paraId="2312DFF4" w14:textId="7F11881F">
      <w:pPr>
        <w:spacing w:line="240" w:lineRule="atLeast"/>
        <w:rPr>
          <w:rFonts w:ascii="Verdana" w:hAnsi="Verdana" w:eastAsia="Verdana" w:cs="Verdana"/>
          <w:sz w:val="18"/>
          <w:szCs w:val="18"/>
        </w:rPr>
      </w:pPr>
      <w:r w:rsidRPr="008D06E2">
        <w:rPr>
          <w:rFonts w:ascii="Verdana" w:hAnsi="Verdana" w:eastAsia="Verdana" w:cs="Verdana"/>
          <w:sz w:val="18"/>
          <w:szCs w:val="18"/>
        </w:rPr>
        <w:t xml:space="preserve">Op 26 en 27 juni zal de Europese Raad het convergentierapport </w:t>
      </w:r>
      <w:r w:rsidR="00DC6AD9">
        <w:rPr>
          <w:rFonts w:ascii="Verdana" w:hAnsi="Verdana" w:eastAsia="Verdana" w:cs="Verdana"/>
          <w:sz w:val="18"/>
          <w:szCs w:val="18"/>
        </w:rPr>
        <w:t xml:space="preserve">en de eurotoetreding door Bulgarije </w:t>
      </w:r>
      <w:r w:rsidRPr="008D06E2">
        <w:rPr>
          <w:rFonts w:ascii="Verdana" w:hAnsi="Verdana" w:eastAsia="Verdana" w:cs="Verdana"/>
          <w:sz w:val="18"/>
          <w:szCs w:val="18"/>
        </w:rPr>
        <w:t>bespreken</w:t>
      </w:r>
      <w:r w:rsidR="00DC6AD9">
        <w:rPr>
          <w:rFonts w:ascii="Verdana" w:hAnsi="Verdana" w:eastAsia="Verdana" w:cs="Verdana"/>
          <w:sz w:val="18"/>
          <w:szCs w:val="18"/>
        </w:rPr>
        <w:t xml:space="preserve">. Naar verwachting </w:t>
      </w:r>
      <w:r w:rsidRPr="008D06E2">
        <w:rPr>
          <w:rFonts w:ascii="Verdana" w:hAnsi="Verdana" w:eastAsia="Verdana" w:cs="Verdana"/>
          <w:sz w:val="18"/>
          <w:szCs w:val="18"/>
        </w:rPr>
        <w:t>zal het Europees Parlement op 8 juli een opinie over het Bulgaars toetreden aann</w:t>
      </w:r>
      <w:r w:rsidR="009D1B5E">
        <w:rPr>
          <w:rFonts w:ascii="Verdana" w:hAnsi="Verdana" w:eastAsia="Verdana" w:cs="Verdana"/>
          <w:sz w:val="18"/>
          <w:szCs w:val="18"/>
        </w:rPr>
        <w:t>e</w:t>
      </w:r>
      <w:r w:rsidRPr="008D06E2">
        <w:rPr>
          <w:rFonts w:ascii="Verdana" w:hAnsi="Verdana" w:eastAsia="Verdana" w:cs="Verdana"/>
          <w:sz w:val="18"/>
          <w:szCs w:val="18"/>
        </w:rPr>
        <w:t xml:space="preserve">men. </w:t>
      </w:r>
      <w:bookmarkStart w:name="_Hlk199253933" w:id="4"/>
      <w:r w:rsidRPr="008D06E2">
        <w:rPr>
          <w:rFonts w:ascii="Verdana" w:hAnsi="Verdana" w:eastAsia="Verdana" w:cs="Verdana"/>
          <w:sz w:val="18"/>
          <w:szCs w:val="18"/>
        </w:rPr>
        <w:t xml:space="preserve">In de Ecofinraad op 8 juli zal de Raad </w:t>
      </w:r>
      <w:r w:rsidR="006D2845">
        <w:rPr>
          <w:rFonts w:ascii="Verdana" w:hAnsi="Verdana" w:eastAsia="Verdana" w:cs="Verdana"/>
          <w:sz w:val="18"/>
          <w:szCs w:val="18"/>
        </w:rPr>
        <w:t>met gekwalificeerde meerderheid</w:t>
      </w:r>
      <w:r w:rsidR="009B268B">
        <w:rPr>
          <w:rFonts w:ascii="Verdana" w:hAnsi="Verdana" w:eastAsia="Verdana" w:cs="Verdana"/>
          <w:sz w:val="18"/>
          <w:szCs w:val="18"/>
        </w:rPr>
        <w:t xml:space="preserve"> </w:t>
      </w:r>
      <w:r w:rsidRPr="008D06E2">
        <w:rPr>
          <w:rFonts w:ascii="Verdana" w:hAnsi="Verdana" w:eastAsia="Verdana" w:cs="Verdana"/>
          <w:sz w:val="18"/>
          <w:szCs w:val="18"/>
        </w:rPr>
        <w:t>besluiten over de</w:t>
      </w:r>
      <w:r w:rsidR="0096787C">
        <w:rPr>
          <w:rFonts w:ascii="Verdana" w:hAnsi="Verdana" w:eastAsia="Verdana" w:cs="Verdana"/>
          <w:sz w:val="18"/>
          <w:szCs w:val="18"/>
        </w:rPr>
        <w:t xml:space="preserve"> </w:t>
      </w:r>
      <w:r w:rsidRPr="008D06E2">
        <w:rPr>
          <w:rFonts w:ascii="Verdana" w:hAnsi="Verdana" w:eastAsia="Verdana" w:cs="Verdana"/>
          <w:sz w:val="18"/>
          <w:szCs w:val="18"/>
        </w:rPr>
        <w:t xml:space="preserve">eurotoetreding van Bulgarije per 1 januari 2026 en de </w:t>
      </w:r>
      <w:r w:rsidR="006D2845">
        <w:rPr>
          <w:rFonts w:ascii="Verdana" w:hAnsi="Verdana" w:eastAsia="Verdana" w:cs="Verdana"/>
          <w:sz w:val="18"/>
          <w:szCs w:val="18"/>
        </w:rPr>
        <w:t xml:space="preserve">met eenparigheid van stemmen over de </w:t>
      </w:r>
      <w:r w:rsidRPr="008D06E2">
        <w:rPr>
          <w:rFonts w:ascii="Verdana" w:hAnsi="Verdana" w:eastAsia="Verdana" w:cs="Verdana"/>
          <w:sz w:val="18"/>
          <w:szCs w:val="18"/>
        </w:rPr>
        <w:t>omrekenkoers van de Bulgaarse lev naar de euro.</w:t>
      </w:r>
    </w:p>
    <w:p w:rsidRPr="008D06E2" w:rsidR="0096787C" w:rsidP="008D06E2" w:rsidRDefault="0096787C" w14:paraId="2CC91FAA" w14:textId="77777777">
      <w:pPr>
        <w:spacing w:line="240" w:lineRule="auto"/>
        <w:rPr>
          <w:rFonts w:ascii="Verdana" w:hAnsi="Verdana"/>
          <w:sz w:val="18"/>
          <w:szCs w:val="18"/>
          <w:highlight w:val="yellow"/>
        </w:rPr>
      </w:pPr>
    </w:p>
    <w:bookmarkEnd w:id="4"/>
    <w:p w:rsidRPr="008D06E2" w:rsidR="00F871DE" w:rsidP="008D06E2" w:rsidRDefault="00F871DE" w14:paraId="77D8AAC6" w14:textId="77777777">
      <w:pPr>
        <w:spacing w:line="240" w:lineRule="auto"/>
        <w:rPr>
          <w:rFonts w:ascii="Verdana" w:hAnsi="Verdana"/>
          <w:sz w:val="18"/>
          <w:szCs w:val="18"/>
        </w:rPr>
      </w:pPr>
    </w:p>
    <w:p w:rsidRPr="008D06E2" w:rsidR="00F871DE" w:rsidP="008D06E2" w:rsidRDefault="00F871DE" w14:paraId="4E1C64B1" w14:textId="77777777">
      <w:pPr>
        <w:spacing w:line="240" w:lineRule="auto"/>
        <w:rPr>
          <w:rFonts w:ascii="Verdana" w:hAnsi="Verdana"/>
          <w:sz w:val="18"/>
          <w:szCs w:val="18"/>
        </w:rPr>
      </w:pPr>
    </w:p>
    <w:p w:rsidR="006C147D" w:rsidP="008D06E2" w:rsidRDefault="006C147D" w14:paraId="34C4E4AD" w14:textId="77777777">
      <w:pPr>
        <w:spacing w:line="240" w:lineRule="auto"/>
        <w:rPr>
          <w:rFonts w:ascii="Verdana" w:hAnsi="Verdana"/>
          <w:sz w:val="18"/>
          <w:szCs w:val="18"/>
        </w:rPr>
      </w:pPr>
    </w:p>
    <w:p w:rsidR="006C7493" w:rsidP="008D06E2" w:rsidRDefault="006C7493" w14:paraId="415DAEC1" w14:textId="77777777">
      <w:pPr>
        <w:spacing w:line="240" w:lineRule="auto"/>
        <w:rPr>
          <w:rFonts w:ascii="Verdana" w:hAnsi="Verdana"/>
          <w:sz w:val="18"/>
          <w:szCs w:val="18"/>
        </w:rPr>
      </w:pPr>
    </w:p>
    <w:p w:rsidR="006C7493" w:rsidP="008D06E2" w:rsidRDefault="006C7493" w14:paraId="49C0A823" w14:textId="77777777">
      <w:pPr>
        <w:spacing w:line="240" w:lineRule="auto"/>
        <w:rPr>
          <w:rFonts w:ascii="Verdana" w:hAnsi="Verdana"/>
          <w:sz w:val="18"/>
          <w:szCs w:val="18"/>
        </w:rPr>
      </w:pPr>
    </w:p>
    <w:p w:rsidR="006C7493" w:rsidP="008D06E2" w:rsidRDefault="006C7493" w14:paraId="1B884529" w14:textId="77777777">
      <w:pPr>
        <w:spacing w:line="240" w:lineRule="auto"/>
        <w:rPr>
          <w:rFonts w:ascii="Verdana" w:hAnsi="Verdana"/>
          <w:sz w:val="18"/>
          <w:szCs w:val="18"/>
        </w:rPr>
      </w:pPr>
    </w:p>
    <w:p w:rsidR="006C7493" w:rsidP="008D06E2" w:rsidRDefault="006C7493" w14:paraId="703ABB75" w14:textId="77777777">
      <w:pPr>
        <w:spacing w:line="240" w:lineRule="auto"/>
        <w:rPr>
          <w:rFonts w:ascii="Verdana" w:hAnsi="Verdana"/>
          <w:sz w:val="18"/>
          <w:szCs w:val="18"/>
        </w:rPr>
      </w:pPr>
    </w:p>
    <w:p w:rsidR="006C7493" w:rsidP="008D06E2" w:rsidRDefault="006C7493" w14:paraId="7BD1F58D" w14:textId="77777777">
      <w:pPr>
        <w:spacing w:line="240" w:lineRule="auto"/>
        <w:rPr>
          <w:rFonts w:ascii="Verdana" w:hAnsi="Verdana"/>
          <w:sz w:val="18"/>
          <w:szCs w:val="18"/>
        </w:rPr>
      </w:pPr>
    </w:p>
    <w:p w:rsidR="006C7493" w:rsidP="008D06E2" w:rsidRDefault="006C7493" w14:paraId="0A5A75D6" w14:textId="77777777">
      <w:pPr>
        <w:spacing w:line="240" w:lineRule="auto"/>
        <w:rPr>
          <w:rFonts w:ascii="Verdana" w:hAnsi="Verdana"/>
          <w:sz w:val="18"/>
          <w:szCs w:val="18"/>
        </w:rPr>
      </w:pPr>
    </w:p>
    <w:p w:rsidR="006C7493" w:rsidP="008D06E2" w:rsidRDefault="006C7493" w14:paraId="54623F7D" w14:textId="77777777">
      <w:pPr>
        <w:spacing w:line="240" w:lineRule="auto"/>
        <w:rPr>
          <w:rFonts w:ascii="Verdana" w:hAnsi="Verdana"/>
          <w:sz w:val="18"/>
          <w:szCs w:val="18"/>
        </w:rPr>
      </w:pPr>
    </w:p>
    <w:p w:rsidR="006C7493" w:rsidP="008D06E2" w:rsidRDefault="006C7493" w14:paraId="71A451CA" w14:textId="77777777">
      <w:pPr>
        <w:spacing w:line="240" w:lineRule="auto"/>
        <w:rPr>
          <w:rFonts w:ascii="Verdana" w:hAnsi="Verdana"/>
          <w:sz w:val="18"/>
          <w:szCs w:val="18"/>
        </w:rPr>
      </w:pPr>
    </w:p>
    <w:p w:rsidR="006C7493" w:rsidP="008D06E2" w:rsidRDefault="006C7493" w14:paraId="5B943CB9" w14:textId="77777777">
      <w:pPr>
        <w:spacing w:line="240" w:lineRule="auto"/>
        <w:rPr>
          <w:rFonts w:ascii="Verdana" w:hAnsi="Verdana"/>
          <w:sz w:val="18"/>
          <w:szCs w:val="18"/>
        </w:rPr>
      </w:pPr>
    </w:p>
    <w:p w:rsidR="006C7493" w:rsidP="008D06E2" w:rsidRDefault="006C7493" w14:paraId="1BC5B018" w14:textId="77777777">
      <w:pPr>
        <w:spacing w:line="240" w:lineRule="auto"/>
        <w:rPr>
          <w:rFonts w:ascii="Verdana" w:hAnsi="Verdana"/>
          <w:sz w:val="18"/>
          <w:szCs w:val="18"/>
        </w:rPr>
      </w:pPr>
    </w:p>
    <w:p w:rsidR="006C7493" w:rsidP="006C7493" w:rsidRDefault="006C7493" w14:paraId="021B30C6" w14:textId="77777777">
      <w:pPr>
        <w:tabs>
          <w:tab w:val="left" w:pos="7740"/>
        </w:tabs>
        <w:spacing w:line="276" w:lineRule="auto"/>
        <w:rPr>
          <w:rFonts w:ascii="Verdana" w:hAnsi="Verdana"/>
          <w:sz w:val="18"/>
          <w:szCs w:val="18"/>
        </w:rPr>
      </w:pPr>
    </w:p>
    <w:p w:rsidR="006C7493" w:rsidP="006C7493" w:rsidRDefault="006C7493" w14:paraId="023DE978" w14:textId="77777777">
      <w:pPr>
        <w:tabs>
          <w:tab w:val="left" w:pos="7740"/>
        </w:tabs>
        <w:spacing w:line="276" w:lineRule="auto"/>
        <w:rPr>
          <w:rFonts w:ascii="Verdana" w:hAnsi="Verdana"/>
          <w:sz w:val="18"/>
          <w:szCs w:val="18"/>
        </w:rPr>
      </w:pPr>
    </w:p>
    <w:p w:rsidR="006C7493" w:rsidP="006C7493" w:rsidRDefault="006C7493" w14:paraId="3EF3731B" w14:textId="77777777">
      <w:pPr>
        <w:tabs>
          <w:tab w:val="left" w:pos="7740"/>
        </w:tabs>
        <w:spacing w:line="276" w:lineRule="auto"/>
        <w:rPr>
          <w:rFonts w:ascii="Verdana" w:hAnsi="Verdana"/>
          <w:sz w:val="18"/>
          <w:szCs w:val="18"/>
        </w:rPr>
      </w:pPr>
    </w:p>
    <w:p w:rsidR="006C7493" w:rsidP="006C7493" w:rsidRDefault="006C7493" w14:paraId="46343319" w14:textId="77777777">
      <w:pPr>
        <w:tabs>
          <w:tab w:val="left" w:pos="7740"/>
        </w:tabs>
        <w:spacing w:line="276" w:lineRule="auto"/>
        <w:rPr>
          <w:rFonts w:ascii="Verdana" w:hAnsi="Verdana"/>
          <w:sz w:val="18"/>
          <w:szCs w:val="18"/>
        </w:rPr>
      </w:pPr>
    </w:p>
    <w:p w:rsidR="00D51873" w:rsidP="006C7493" w:rsidRDefault="00D51873" w14:paraId="6FE1EB98" w14:textId="77777777">
      <w:pPr>
        <w:tabs>
          <w:tab w:val="left" w:pos="7740"/>
        </w:tabs>
        <w:spacing w:line="276" w:lineRule="auto"/>
        <w:rPr>
          <w:rFonts w:ascii="Verdana" w:hAnsi="Verdana"/>
          <w:sz w:val="18"/>
          <w:szCs w:val="18"/>
        </w:rPr>
      </w:pPr>
    </w:p>
    <w:p w:rsidR="00D51873" w:rsidP="006C7493" w:rsidRDefault="00D51873" w14:paraId="067CAF1C" w14:textId="77777777">
      <w:pPr>
        <w:tabs>
          <w:tab w:val="left" w:pos="7740"/>
        </w:tabs>
        <w:spacing w:line="276" w:lineRule="auto"/>
        <w:rPr>
          <w:rFonts w:ascii="Verdana" w:hAnsi="Verdana"/>
          <w:sz w:val="18"/>
          <w:szCs w:val="18"/>
        </w:rPr>
      </w:pPr>
    </w:p>
    <w:p w:rsidR="00D51873" w:rsidP="006C7493" w:rsidRDefault="00D51873" w14:paraId="298D1C66" w14:textId="77777777">
      <w:pPr>
        <w:tabs>
          <w:tab w:val="left" w:pos="7740"/>
        </w:tabs>
        <w:spacing w:line="276" w:lineRule="auto"/>
        <w:rPr>
          <w:rFonts w:ascii="Verdana" w:hAnsi="Verdana"/>
          <w:sz w:val="18"/>
          <w:szCs w:val="18"/>
        </w:rPr>
      </w:pPr>
    </w:p>
    <w:p w:rsidRPr="00B20609" w:rsidR="00D51873" w:rsidP="00D51873" w:rsidRDefault="00D51873" w14:paraId="6731E72B" w14:textId="77777777">
      <w:pPr>
        <w:rPr>
          <w:rFonts w:ascii="Verdana" w:hAnsi="Verdana"/>
          <w:b/>
          <w:bCs/>
          <w:sz w:val="18"/>
          <w:szCs w:val="18"/>
        </w:rPr>
      </w:pPr>
      <w:r w:rsidRPr="00B20609">
        <w:rPr>
          <w:rFonts w:ascii="Verdana" w:hAnsi="Verdana"/>
          <w:b/>
          <w:bCs/>
          <w:sz w:val="18"/>
          <w:szCs w:val="18"/>
        </w:rPr>
        <w:t>Annex 1: overzicht beleidsterreinen in de 2025 landspecifieke aanbevelingen</w:t>
      </w:r>
    </w:p>
    <w:p w:rsidR="00D51873" w:rsidP="006C7493" w:rsidRDefault="00D51873" w14:paraId="6B17E67E" w14:textId="684B388F">
      <w:pPr>
        <w:tabs>
          <w:tab w:val="left" w:pos="7740"/>
        </w:tabs>
        <w:spacing w:line="276" w:lineRule="auto"/>
        <w:rPr>
          <w:rFonts w:ascii="Verdana" w:hAnsi="Verdana"/>
          <w:sz w:val="18"/>
          <w:szCs w:val="18"/>
        </w:rPr>
      </w:pPr>
      <w:r w:rsidRPr="00EA3553">
        <w:rPr>
          <w:rFonts w:ascii="Verdana" w:hAnsi="Verdana"/>
          <w:noProof/>
          <w:sz w:val="18"/>
          <w:szCs w:val="18"/>
        </w:rPr>
        <w:lastRenderedPageBreak/>
        <w:drawing>
          <wp:inline distT="0" distB="0" distL="0" distR="0" wp14:anchorId="28C5C002" wp14:editId="511DD61A">
            <wp:extent cx="7933778" cy="5346027"/>
            <wp:effectExtent l="0" t="1270" r="8890" b="8890"/>
            <wp:docPr id="16222843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84379" name=""/>
                    <pic:cNvPicPr/>
                  </pic:nvPicPr>
                  <pic:blipFill>
                    <a:blip r:embed="rId10"/>
                    <a:stretch>
                      <a:fillRect/>
                    </a:stretch>
                  </pic:blipFill>
                  <pic:spPr>
                    <a:xfrm rot="5400000">
                      <a:off x="0" y="0"/>
                      <a:ext cx="7941027" cy="5350912"/>
                    </a:xfrm>
                    <a:prstGeom prst="rect">
                      <a:avLst/>
                    </a:prstGeom>
                  </pic:spPr>
                </pic:pic>
              </a:graphicData>
            </a:graphic>
          </wp:inline>
        </w:drawing>
      </w:r>
    </w:p>
    <w:p w:rsidR="00D51873" w:rsidP="006C7493" w:rsidRDefault="00D51873" w14:paraId="009FD68B" w14:textId="288CDB23">
      <w:pPr>
        <w:tabs>
          <w:tab w:val="left" w:pos="7740"/>
        </w:tabs>
        <w:spacing w:line="276" w:lineRule="auto"/>
        <w:rPr>
          <w:rFonts w:ascii="Verdana" w:hAnsi="Verdana"/>
          <w:sz w:val="18"/>
          <w:szCs w:val="18"/>
        </w:rPr>
      </w:pPr>
    </w:p>
    <w:p w:rsidR="006C7493" w:rsidP="006C7493" w:rsidRDefault="006C7493" w14:paraId="64083752" w14:textId="77777777">
      <w:pPr>
        <w:tabs>
          <w:tab w:val="left" w:pos="7740"/>
        </w:tabs>
        <w:spacing w:line="276" w:lineRule="auto"/>
        <w:rPr>
          <w:rFonts w:ascii="Verdana" w:hAnsi="Verdana"/>
          <w:sz w:val="18"/>
          <w:szCs w:val="18"/>
        </w:rPr>
      </w:pPr>
    </w:p>
    <w:p w:rsidR="006C7493" w:rsidP="006C7493" w:rsidRDefault="006C7493" w14:paraId="140A199E" w14:textId="77777777">
      <w:pPr>
        <w:tabs>
          <w:tab w:val="left" w:pos="7740"/>
        </w:tabs>
        <w:spacing w:line="276" w:lineRule="auto"/>
        <w:rPr>
          <w:b/>
          <w:bCs/>
        </w:rPr>
        <w:sectPr w:rsidR="006C7493" w:rsidSect="006C7493">
          <w:pgSz w:w="11906" w:h="16838"/>
          <w:pgMar w:top="1440" w:right="1440" w:bottom="1440" w:left="1440" w:header="709" w:footer="709" w:gutter="0"/>
          <w:cols w:space="708"/>
          <w:docGrid w:linePitch="360"/>
        </w:sectPr>
      </w:pPr>
    </w:p>
    <w:p w:rsidRPr="003F391D" w:rsidR="006C7493" w:rsidP="006C7493" w:rsidRDefault="006C7493" w14:paraId="0F4589D3" w14:textId="540F0C1E">
      <w:pPr>
        <w:tabs>
          <w:tab w:val="left" w:pos="7740"/>
        </w:tabs>
        <w:spacing w:line="276" w:lineRule="auto"/>
        <w:rPr>
          <w:b/>
          <w:bCs/>
        </w:rPr>
      </w:pPr>
      <w:r>
        <w:rPr>
          <w:b/>
          <w:bCs/>
        </w:rPr>
        <w:lastRenderedPageBreak/>
        <w:t>Annex II. Aanbevolen, gerapporteerde en geraamde uitgavengroei in 2024 en 2025</w:t>
      </w:r>
      <w:r>
        <w:rPr>
          <w:b/>
          <w:bCs/>
        </w:rPr>
        <w:tab/>
      </w:r>
    </w:p>
    <w:tbl>
      <w:tblPr>
        <w:tblStyle w:val="Tabelraster"/>
        <w:tblW w:w="13530" w:type="dxa"/>
        <w:tblLook w:val="04A0" w:firstRow="1" w:lastRow="0" w:firstColumn="1" w:lastColumn="0" w:noHBand="0" w:noVBand="1"/>
      </w:tblPr>
      <w:tblGrid>
        <w:gridCol w:w="1694"/>
        <w:gridCol w:w="1027"/>
        <w:gridCol w:w="3532"/>
        <w:gridCol w:w="3676"/>
        <w:gridCol w:w="3601"/>
      </w:tblGrid>
      <w:tr w:rsidR="006C7493" w:rsidTr="0032090A" w14:paraId="0F4163DA" w14:textId="77777777">
        <w:trPr>
          <w:trHeight w:val="416"/>
        </w:trPr>
        <w:tc>
          <w:tcPr>
            <w:tcW w:w="2721" w:type="dxa"/>
            <w:gridSpan w:val="2"/>
            <w:shd w:val="clear" w:color="auto" w:fill="D9E2F3" w:themeFill="accent1" w:themeFillTint="33"/>
          </w:tcPr>
          <w:p w:rsidRPr="00995633" w:rsidR="006C7493" w:rsidP="0032090A" w:rsidRDefault="006C7493" w14:paraId="79C51806" w14:textId="77777777">
            <w:pPr>
              <w:spacing w:line="276" w:lineRule="auto"/>
              <w:rPr>
                <w:sz w:val="20"/>
                <w:szCs w:val="20"/>
              </w:rPr>
            </w:pPr>
            <w:r>
              <w:rPr>
                <w:sz w:val="20"/>
                <w:szCs w:val="20"/>
              </w:rPr>
              <w:t>L</w:t>
            </w:r>
            <w:r w:rsidRPr="00995633">
              <w:rPr>
                <w:sz w:val="20"/>
                <w:szCs w:val="20"/>
              </w:rPr>
              <w:t>idstaat</w:t>
            </w:r>
          </w:p>
        </w:tc>
        <w:tc>
          <w:tcPr>
            <w:tcW w:w="3532" w:type="dxa"/>
            <w:shd w:val="clear" w:color="auto" w:fill="D9E2F3" w:themeFill="accent1" w:themeFillTint="33"/>
          </w:tcPr>
          <w:p w:rsidRPr="00995633" w:rsidR="006C7493" w:rsidP="0032090A" w:rsidRDefault="006C7493" w14:paraId="19379D1C" w14:textId="77777777">
            <w:pPr>
              <w:spacing w:line="276" w:lineRule="auto"/>
              <w:rPr>
                <w:sz w:val="20"/>
                <w:szCs w:val="20"/>
              </w:rPr>
            </w:pPr>
            <w:r w:rsidRPr="00995633">
              <w:rPr>
                <w:sz w:val="20"/>
                <w:szCs w:val="20"/>
              </w:rPr>
              <w:t xml:space="preserve">Aanbevolen </w:t>
            </w:r>
            <w:r>
              <w:rPr>
                <w:sz w:val="20"/>
                <w:szCs w:val="20"/>
              </w:rPr>
              <w:t xml:space="preserve">maximale </w:t>
            </w:r>
            <w:r w:rsidRPr="00995633">
              <w:rPr>
                <w:sz w:val="20"/>
                <w:szCs w:val="20"/>
              </w:rPr>
              <w:t>uitgavengroei (%)</w:t>
            </w:r>
          </w:p>
        </w:tc>
        <w:tc>
          <w:tcPr>
            <w:tcW w:w="3676" w:type="dxa"/>
            <w:tcBorders>
              <w:right w:val="dotted" w:color="auto" w:sz="4" w:space="0"/>
            </w:tcBorders>
            <w:shd w:val="clear" w:color="auto" w:fill="D9E2F3" w:themeFill="accent1" w:themeFillTint="33"/>
          </w:tcPr>
          <w:p w:rsidRPr="00995633" w:rsidR="006C7493" w:rsidP="0032090A" w:rsidRDefault="006C7493" w14:paraId="059309A0" w14:textId="77777777">
            <w:pPr>
              <w:tabs>
                <w:tab w:val="left" w:pos="1876"/>
              </w:tabs>
              <w:spacing w:line="276" w:lineRule="auto"/>
              <w:rPr>
                <w:sz w:val="20"/>
                <w:szCs w:val="20"/>
              </w:rPr>
            </w:pPr>
            <w:r w:rsidRPr="00995633">
              <w:rPr>
                <w:sz w:val="20"/>
                <w:szCs w:val="20"/>
              </w:rPr>
              <w:t>Uitgavengroei voortgangsrapport (%)</w:t>
            </w:r>
          </w:p>
        </w:tc>
        <w:tc>
          <w:tcPr>
            <w:tcW w:w="3601" w:type="dxa"/>
            <w:tcBorders>
              <w:left w:val="dotted" w:color="auto" w:sz="4" w:space="0"/>
            </w:tcBorders>
            <w:shd w:val="clear" w:color="auto" w:fill="D9E2F3" w:themeFill="accent1" w:themeFillTint="33"/>
          </w:tcPr>
          <w:p w:rsidRPr="00995633" w:rsidR="006C7493" w:rsidP="0032090A" w:rsidRDefault="006C7493" w14:paraId="74E4F96B" w14:textId="77777777">
            <w:pPr>
              <w:tabs>
                <w:tab w:val="left" w:pos="1876"/>
              </w:tabs>
              <w:spacing w:line="276" w:lineRule="auto"/>
              <w:rPr>
                <w:sz w:val="20"/>
                <w:szCs w:val="20"/>
              </w:rPr>
            </w:pPr>
            <w:r w:rsidRPr="00995633">
              <w:rPr>
                <w:sz w:val="20"/>
                <w:szCs w:val="20"/>
              </w:rPr>
              <w:t>Uitgavengroei lenteraming (%)</w:t>
            </w:r>
          </w:p>
        </w:tc>
      </w:tr>
      <w:tr w:rsidR="006C7493" w:rsidTr="0032090A" w14:paraId="058E5507" w14:textId="77777777">
        <w:trPr>
          <w:trHeight w:val="293"/>
        </w:trPr>
        <w:tc>
          <w:tcPr>
            <w:tcW w:w="1694" w:type="dxa"/>
            <w:vMerge w:val="restart"/>
          </w:tcPr>
          <w:p w:rsidRPr="00995633" w:rsidR="006C7493" w:rsidP="0032090A" w:rsidRDefault="006C7493" w14:paraId="5AA05DE9" w14:textId="77777777">
            <w:pPr>
              <w:spacing w:line="276" w:lineRule="auto"/>
              <w:rPr>
                <w:sz w:val="20"/>
                <w:szCs w:val="20"/>
              </w:rPr>
            </w:pPr>
            <w:r w:rsidRPr="00995633">
              <w:rPr>
                <w:sz w:val="20"/>
                <w:szCs w:val="20"/>
              </w:rPr>
              <w:t>België</w:t>
            </w:r>
          </w:p>
        </w:tc>
        <w:tc>
          <w:tcPr>
            <w:tcW w:w="1027" w:type="dxa"/>
            <w:tcBorders>
              <w:bottom w:val="dotted" w:color="auto" w:sz="4" w:space="0"/>
            </w:tcBorders>
          </w:tcPr>
          <w:p w:rsidRPr="00995633" w:rsidR="006C7493" w:rsidP="0032090A" w:rsidRDefault="006C7493" w14:paraId="553FAAEE"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068D4CE6" w14:textId="77777777">
            <w:pPr>
              <w:spacing w:line="276" w:lineRule="auto"/>
              <w:rPr>
                <w:sz w:val="20"/>
                <w:szCs w:val="20"/>
              </w:rPr>
            </w:pPr>
            <w:r>
              <w:rPr>
                <w:sz w:val="20"/>
                <w:szCs w:val="20"/>
              </w:rPr>
              <w:t>4,3%</w:t>
            </w:r>
          </w:p>
        </w:tc>
        <w:tc>
          <w:tcPr>
            <w:tcW w:w="3676" w:type="dxa"/>
            <w:tcBorders>
              <w:bottom w:val="dotted" w:color="auto" w:sz="4" w:space="0"/>
              <w:right w:val="dotted" w:color="auto" w:sz="4" w:space="0"/>
            </w:tcBorders>
          </w:tcPr>
          <w:p w:rsidRPr="00995633" w:rsidR="006C7493" w:rsidP="0032090A" w:rsidRDefault="006C7493" w14:paraId="75CBBE43" w14:textId="77777777">
            <w:pPr>
              <w:spacing w:line="276" w:lineRule="auto"/>
              <w:rPr>
                <w:sz w:val="20"/>
                <w:szCs w:val="20"/>
              </w:rPr>
            </w:pPr>
            <w:r>
              <w:rPr>
                <w:sz w:val="20"/>
                <w:szCs w:val="20"/>
              </w:rPr>
              <w:t>3,9%</w:t>
            </w:r>
          </w:p>
        </w:tc>
        <w:tc>
          <w:tcPr>
            <w:tcW w:w="3601" w:type="dxa"/>
            <w:tcBorders>
              <w:left w:val="dotted" w:color="auto" w:sz="4" w:space="0"/>
              <w:bottom w:val="dotted" w:color="auto" w:sz="4" w:space="0"/>
            </w:tcBorders>
          </w:tcPr>
          <w:p w:rsidRPr="00995633" w:rsidR="006C7493" w:rsidP="0032090A" w:rsidRDefault="006C7493" w14:paraId="244EFEB6" w14:textId="77777777">
            <w:pPr>
              <w:spacing w:line="276" w:lineRule="auto"/>
              <w:rPr>
                <w:sz w:val="20"/>
                <w:szCs w:val="20"/>
              </w:rPr>
            </w:pPr>
            <w:r>
              <w:rPr>
                <w:sz w:val="20"/>
                <w:szCs w:val="20"/>
              </w:rPr>
              <w:t>4,2%</w:t>
            </w:r>
          </w:p>
        </w:tc>
      </w:tr>
      <w:tr w:rsidR="006C7493" w:rsidTr="0032090A" w14:paraId="75896A43" w14:textId="77777777">
        <w:trPr>
          <w:trHeight w:val="293"/>
        </w:trPr>
        <w:tc>
          <w:tcPr>
            <w:tcW w:w="1694" w:type="dxa"/>
            <w:vMerge/>
          </w:tcPr>
          <w:p w:rsidRPr="00995633" w:rsidR="006C7493" w:rsidP="0032090A" w:rsidRDefault="006C7493" w14:paraId="406096E7"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5489FFF2" w14:textId="77777777">
            <w:pPr>
              <w:spacing w:line="276" w:lineRule="auto"/>
              <w:rPr>
                <w:i/>
                <w:iCs/>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4D2CD38F" w14:textId="77777777">
            <w:pPr>
              <w:spacing w:line="276" w:lineRule="auto"/>
              <w:rPr>
                <w:sz w:val="20"/>
                <w:szCs w:val="20"/>
              </w:rPr>
            </w:pPr>
            <w:r>
              <w:rPr>
                <w:sz w:val="20"/>
                <w:szCs w:val="20"/>
              </w:rPr>
              <w:t>3,6%</w:t>
            </w:r>
          </w:p>
        </w:tc>
        <w:tc>
          <w:tcPr>
            <w:tcW w:w="3676" w:type="dxa"/>
            <w:tcBorders>
              <w:top w:val="dotted" w:color="auto" w:sz="4" w:space="0"/>
              <w:right w:val="dotted" w:color="auto" w:sz="4" w:space="0"/>
            </w:tcBorders>
          </w:tcPr>
          <w:p w:rsidRPr="00995633" w:rsidR="006C7493" w:rsidP="0032090A" w:rsidRDefault="006C7493" w14:paraId="4BBCFD53" w14:textId="77777777">
            <w:pPr>
              <w:spacing w:line="276" w:lineRule="auto"/>
              <w:rPr>
                <w:sz w:val="20"/>
                <w:szCs w:val="20"/>
              </w:rPr>
            </w:pPr>
            <w:r>
              <w:rPr>
                <w:sz w:val="20"/>
                <w:szCs w:val="20"/>
              </w:rPr>
              <w:t>4,1%</w:t>
            </w:r>
          </w:p>
        </w:tc>
        <w:tc>
          <w:tcPr>
            <w:tcW w:w="3601" w:type="dxa"/>
            <w:tcBorders>
              <w:top w:val="dotted" w:color="auto" w:sz="4" w:space="0"/>
              <w:left w:val="dotted" w:color="auto" w:sz="4" w:space="0"/>
            </w:tcBorders>
          </w:tcPr>
          <w:p w:rsidRPr="00995633" w:rsidR="006C7493" w:rsidP="0032090A" w:rsidRDefault="006C7493" w14:paraId="2C4F33F8" w14:textId="77777777">
            <w:pPr>
              <w:spacing w:line="276" w:lineRule="auto"/>
              <w:rPr>
                <w:sz w:val="20"/>
                <w:szCs w:val="20"/>
              </w:rPr>
            </w:pPr>
            <w:r>
              <w:rPr>
                <w:sz w:val="20"/>
                <w:szCs w:val="20"/>
              </w:rPr>
              <w:t>5,0</w:t>
            </w:r>
            <w:r w:rsidRPr="00995633">
              <w:rPr>
                <w:sz w:val="20"/>
                <w:szCs w:val="20"/>
              </w:rPr>
              <w:t>%</w:t>
            </w:r>
          </w:p>
        </w:tc>
      </w:tr>
      <w:tr w:rsidR="006C7493" w:rsidTr="0032090A" w14:paraId="773934FA" w14:textId="77777777">
        <w:trPr>
          <w:trHeight w:val="309"/>
        </w:trPr>
        <w:tc>
          <w:tcPr>
            <w:tcW w:w="1694" w:type="dxa"/>
            <w:vMerge w:val="restart"/>
          </w:tcPr>
          <w:p w:rsidRPr="00995633" w:rsidR="006C7493" w:rsidP="0032090A" w:rsidRDefault="006C7493" w14:paraId="33BE7CE2" w14:textId="77777777">
            <w:pPr>
              <w:spacing w:line="276" w:lineRule="auto"/>
              <w:rPr>
                <w:sz w:val="20"/>
                <w:szCs w:val="20"/>
              </w:rPr>
            </w:pPr>
            <w:r w:rsidRPr="00995633">
              <w:rPr>
                <w:sz w:val="20"/>
                <w:szCs w:val="20"/>
              </w:rPr>
              <w:t>Bulgarije</w:t>
            </w:r>
          </w:p>
        </w:tc>
        <w:tc>
          <w:tcPr>
            <w:tcW w:w="1027" w:type="dxa"/>
            <w:tcBorders>
              <w:bottom w:val="dotted" w:color="auto" w:sz="4" w:space="0"/>
            </w:tcBorders>
          </w:tcPr>
          <w:p w:rsidRPr="00995633" w:rsidR="006C7493" w:rsidP="0032090A" w:rsidRDefault="006C7493" w14:paraId="2DC9BD59"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2F71D19B" w14:textId="77777777">
            <w:pPr>
              <w:spacing w:line="276" w:lineRule="auto"/>
              <w:rPr>
                <w:sz w:val="20"/>
                <w:szCs w:val="20"/>
              </w:rPr>
            </w:pPr>
            <w:r>
              <w:rPr>
                <w:sz w:val="20"/>
                <w:szCs w:val="20"/>
              </w:rPr>
              <w:t>11,2%</w:t>
            </w:r>
          </w:p>
        </w:tc>
        <w:tc>
          <w:tcPr>
            <w:tcW w:w="3676" w:type="dxa"/>
            <w:tcBorders>
              <w:bottom w:val="dotted" w:color="auto" w:sz="4" w:space="0"/>
              <w:right w:val="dotted" w:color="auto" w:sz="4" w:space="0"/>
            </w:tcBorders>
          </w:tcPr>
          <w:p w:rsidRPr="00995633" w:rsidR="006C7493" w:rsidP="0032090A" w:rsidRDefault="006C7493" w14:paraId="3C82EBB8" w14:textId="77777777">
            <w:pPr>
              <w:spacing w:line="276" w:lineRule="auto"/>
              <w:rPr>
                <w:sz w:val="20"/>
                <w:szCs w:val="20"/>
              </w:rPr>
            </w:pPr>
            <w:r>
              <w:rPr>
                <w:sz w:val="20"/>
                <w:szCs w:val="20"/>
              </w:rPr>
              <w:t>12,3%</w:t>
            </w:r>
          </w:p>
        </w:tc>
        <w:tc>
          <w:tcPr>
            <w:tcW w:w="3601" w:type="dxa"/>
            <w:tcBorders>
              <w:left w:val="dotted" w:color="auto" w:sz="4" w:space="0"/>
              <w:bottom w:val="dotted" w:color="auto" w:sz="4" w:space="0"/>
            </w:tcBorders>
          </w:tcPr>
          <w:p w:rsidRPr="00995633" w:rsidR="006C7493" w:rsidP="0032090A" w:rsidRDefault="006C7493" w14:paraId="0599C578" w14:textId="77777777">
            <w:pPr>
              <w:spacing w:line="276" w:lineRule="auto"/>
              <w:rPr>
                <w:sz w:val="20"/>
                <w:szCs w:val="20"/>
              </w:rPr>
            </w:pPr>
            <w:r>
              <w:rPr>
                <w:sz w:val="20"/>
                <w:szCs w:val="20"/>
              </w:rPr>
              <w:t>10,4%</w:t>
            </w:r>
          </w:p>
        </w:tc>
      </w:tr>
      <w:tr w:rsidR="006C7493" w:rsidTr="0032090A" w14:paraId="5B1581E1" w14:textId="77777777">
        <w:trPr>
          <w:trHeight w:val="309"/>
        </w:trPr>
        <w:tc>
          <w:tcPr>
            <w:tcW w:w="1694" w:type="dxa"/>
            <w:vMerge/>
          </w:tcPr>
          <w:p w:rsidRPr="00995633" w:rsidR="006C7493" w:rsidP="0032090A" w:rsidRDefault="006C7493" w14:paraId="68B25759"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1CCDED57" w14:textId="77777777">
            <w:pPr>
              <w:spacing w:line="276" w:lineRule="auto"/>
              <w:rPr>
                <w:i/>
                <w:iCs/>
                <w:sz w:val="20"/>
                <w:szCs w:val="20"/>
              </w:rPr>
            </w:pPr>
            <w:r w:rsidRPr="00995633">
              <w:rPr>
                <w:i/>
                <w:iCs/>
                <w:sz w:val="20"/>
                <w:szCs w:val="20"/>
              </w:rPr>
              <w:t>2026</w:t>
            </w:r>
          </w:p>
        </w:tc>
        <w:tc>
          <w:tcPr>
            <w:tcW w:w="3532" w:type="dxa"/>
            <w:tcBorders>
              <w:top w:val="dotted" w:color="auto" w:sz="4" w:space="0"/>
            </w:tcBorders>
          </w:tcPr>
          <w:p w:rsidRPr="00995633" w:rsidR="006C7493" w:rsidP="0032090A" w:rsidRDefault="006C7493" w14:paraId="2316EDB0" w14:textId="77777777">
            <w:pPr>
              <w:spacing w:line="276" w:lineRule="auto"/>
              <w:rPr>
                <w:sz w:val="20"/>
                <w:szCs w:val="20"/>
              </w:rPr>
            </w:pPr>
            <w:r>
              <w:rPr>
                <w:sz w:val="20"/>
                <w:szCs w:val="20"/>
              </w:rPr>
              <w:t>6,2%</w:t>
            </w:r>
          </w:p>
        </w:tc>
        <w:tc>
          <w:tcPr>
            <w:tcW w:w="3676" w:type="dxa"/>
            <w:tcBorders>
              <w:top w:val="dotted" w:color="auto" w:sz="4" w:space="0"/>
              <w:right w:val="dotted" w:color="auto" w:sz="4" w:space="0"/>
            </w:tcBorders>
          </w:tcPr>
          <w:p w:rsidRPr="00995633" w:rsidR="006C7493" w:rsidP="0032090A" w:rsidRDefault="006C7493" w14:paraId="41A92C90" w14:textId="77777777">
            <w:pPr>
              <w:spacing w:line="276" w:lineRule="auto"/>
              <w:rPr>
                <w:sz w:val="20"/>
                <w:szCs w:val="20"/>
              </w:rPr>
            </w:pPr>
            <w:r>
              <w:rPr>
                <w:sz w:val="20"/>
                <w:szCs w:val="20"/>
              </w:rPr>
              <w:t>8,6%</w:t>
            </w:r>
          </w:p>
        </w:tc>
        <w:tc>
          <w:tcPr>
            <w:tcW w:w="3601" w:type="dxa"/>
            <w:tcBorders>
              <w:top w:val="dotted" w:color="auto" w:sz="4" w:space="0"/>
              <w:left w:val="dotted" w:color="auto" w:sz="4" w:space="0"/>
            </w:tcBorders>
          </w:tcPr>
          <w:p w:rsidRPr="00995633" w:rsidR="006C7493" w:rsidP="0032090A" w:rsidRDefault="006C7493" w14:paraId="121F6FED" w14:textId="77777777">
            <w:pPr>
              <w:spacing w:line="276" w:lineRule="auto"/>
              <w:rPr>
                <w:sz w:val="20"/>
                <w:szCs w:val="20"/>
              </w:rPr>
            </w:pPr>
            <w:r>
              <w:rPr>
                <w:sz w:val="20"/>
                <w:szCs w:val="20"/>
              </w:rPr>
              <w:t>9,2</w:t>
            </w:r>
            <w:r w:rsidRPr="00995633">
              <w:rPr>
                <w:sz w:val="20"/>
                <w:szCs w:val="20"/>
              </w:rPr>
              <w:t>%</w:t>
            </w:r>
          </w:p>
        </w:tc>
      </w:tr>
      <w:tr w:rsidR="006C7493" w:rsidTr="0032090A" w14:paraId="6E7CEEAE" w14:textId="77777777">
        <w:trPr>
          <w:trHeight w:val="309"/>
        </w:trPr>
        <w:tc>
          <w:tcPr>
            <w:tcW w:w="1694" w:type="dxa"/>
            <w:vMerge w:val="restart"/>
          </w:tcPr>
          <w:p w:rsidRPr="00995633" w:rsidR="006C7493" w:rsidP="0032090A" w:rsidRDefault="006C7493" w14:paraId="63248A13" w14:textId="77777777">
            <w:pPr>
              <w:spacing w:line="276" w:lineRule="auto"/>
              <w:rPr>
                <w:sz w:val="20"/>
                <w:szCs w:val="20"/>
              </w:rPr>
            </w:pPr>
            <w:r w:rsidRPr="00995633">
              <w:rPr>
                <w:sz w:val="20"/>
                <w:szCs w:val="20"/>
              </w:rPr>
              <w:t>Cyprus</w:t>
            </w:r>
          </w:p>
        </w:tc>
        <w:tc>
          <w:tcPr>
            <w:tcW w:w="1027" w:type="dxa"/>
            <w:tcBorders>
              <w:bottom w:val="dotted" w:color="auto" w:sz="4" w:space="0"/>
            </w:tcBorders>
          </w:tcPr>
          <w:p w:rsidRPr="00995633" w:rsidR="006C7493" w:rsidP="0032090A" w:rsidRDefault="006C7493" w14:paraId="0BD1E5FA"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0E7070F4" w14:textId="77777777">
            <w:pPr>
              <w:spacing w:line="276" w:lineRule="auto"/>
              <w:rPr>
                <w:sz w:val="20"/>
                <w:szCs w:val="20"/>
              </w:rPr>
            </w:pPr>
            <w:r>
              <w:rPr>
                <w:sz w:val="20"/>
                <w:szCs w:val="20"/>
              </w:rPr>
              <w:t>3,2%</w:t>
            </w:r>
          </w:p>
        </w:tc>
        <w:tc>
          <w:tcPr>
            <w:tcW w:w="3676" w:type="dxa"/>
            <w:tcBorders>
              <w:bottom w:val="dotted" w:color="auto" w:sz="4" w:space="0"/>
              <w:right w:val="dotted" w:color="auto" w:sz="4" w:space="0"/>
            </w:tcBorders>
          </w:tcPr>
          <w:p w:rsidRPr="00995633" w:rsidR="006C7493" w:rsidP="0032090A" w:rsidRDefault="006C7493" w14:paraId="0AA9FEE9" w14:textId="77777777">
            <w:pPr>
              <w:spacing w:line="276" w:lineRule="auto"/>
              <w:rPr>
                <w:sz w:val="20"/>
                <w:szCs w:val="20"/>
              </w:rPr>
            </w:pPr>
            <w:r>
              <w:rPr>
                <w:sz w:val="20"/>
                <w:szCs w:val="20"/>
              </w:rPr>
              <w:t>2,7%</w:t>
            </w:r>
          </w:p>
        </w:tc>
        <w:tc>
          <w:tcPr>
            <w:tcW w:w="3601" w:type="dxa"/>
            <w:tcBorders>
              <w:left w:val="dotted" w:color="auto" w:sz="4" w:space="0"/>
              <w:bottom w:val="dotted" w:color="auto" w:sz="4" w:space="0"/>
            </w:tcBorders>
          </w:tcPr>
          <w:p w:rsidRPr="00995633" w:rsidR="006C7493" w:rsidP="0032090A" w:rsidRDefault="006C7493" w14:paraId="36A4E1F3" w14:textId="77777777">
            <w:pPr>
              <w:spacing w:line="276" w:lineRule="auto"/>
              <w:rPr>
                <w:sz w:val="20"/>
                <w:szCs w:val="20"/>
              </w:rPr>
            </w:pPr>
            <w:r>
              <w:rPr>
                <w:sz w:val="20"/>
                <w:szCs w:val="20"/>
              </w:rPr>
              <w:t>2,9%</w:t>
            </w:r>
          </w:p>
        </w:tc>
      </w:tr>
      <w:tr w:rsidR="006C7493" w:rsidTr="0032090A" w14:paraId="3D95DE2E" w14:textId="77777777">
        <w:trPr>
          <w:trHeight w:val="293"/>
        </w:trPr>
        <w:tc>
          <w:tcPr>
            <w:tcW w:w="1694" w:type="dxa"/>
            <w:vMerge/>
          </w:tcPr>
          <w:p w:rsidRPr="00995633" w:rsidR="006C7493" w:rsidP="0032090A" w:rsidRDefault="006C7493" w14:paraId="49DD8D62"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5385D253" w14:textId="77777777">
            <w:pPr>
              <w:spacing w:line="276" w:lineRule="auto"/>
              <w:rPr>
                <w:i/>
                <w:iCs/>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4FE29F4E" w14:textId="77777777">
            <w:pPr>
              <w:spacing w:line="276" w:lineRule="auto"/>
              <w:rPr>
                <w:sz w:val="20"/>
                <w:szCs w:val="20"/>
              </w:rPr>
            </w:pPr>
            <w:r>
              <w:rPr>
                <w:sz w:val="20"/>
                <w:szCs w:val="20"/>
              </w:rPr>
              <w:t>6,0%</w:t>
            </w:r>
          </w:p>
        </w:tc>
        <w:tc>
          <w:tcPr>
            <w:tcW w:w="3676" w:type="dxa"/>
            <w:tcBorders>
              <w:top w:val="dotted" w:color="auto" w:sz="4" w:space="0"/>
              <w:right w:val="dotted" w:color="auto" w:sz="4" w:space="0"/>
            </w:tcBorders>
          </w:tcPr>
          <w:p w:rsidRPr="00995633" w:rsidR="006C7493" w:rsidP="0032090A" w:rsidRDefault="006C7493" w14:paraId="4406556B" w14:textId="77777777">
            <w:pPr>
              <w:spacing w:line="276" w:lineRule="auto"/>
              <w:rPr>
                <w:sz w:val="20"/>
                <w:szCs w:val="20"/>
              </w:rPr>
            </w:pPr>
            <w:r>
              <w:rPr>
                <w:sz w:val="20"/>
                <w:szCs w:val="20"/>
              </w:rPr>
              <w:t>6,8%</w:t>
            </w:r>
          </w:p>
        </w:tc>
        <w:tc>
          <w:tcPr>
            <w:tcW w:w="3601" w:type="dxa"/>
            <w:tcBorders>
              <w:top w:val="dotted" w:color="auto" w:sz="4" w:space="0"/>
              <w:left w:val="dotted" w:color="auto" w:sz="4" w:space="0"/>
            </w:tcBorders>
          </w:tcPr>
          <w:p w:rsidRPr="00995633" w:rsidR="006C7493" w:rsidP="0032090A" w:rsidRDefault="006C7493" w14:paraId="4207BACB" w14:textId="77777777">
            <w:pPr>
              <w:spacing w:line="276" w:lineRule="auto"/>
              <w:rPr>
                <w:sz w:val="20"/>
                <w:szCs w:val="20"/>
              </w:rPr>
            </w:pPr>
            <w:r>
              <w:rPr>
                <w:sz w:val="20"/>
                <w:szCs w:val="20"/>
              </w:rPr>
              <w:t>7,3</w:t>
            </w:r>
            <w:r w:rsidRPr="00995633">
              <w:rPr>
                <w:sz w:val="20"/>
                <w:szCs w:val="20"/>
              </w:rPr>
              <w:t>%</w:t>
            </w:r>
          </w:p>
        </w:tc>
      </w:tr>
      <w:tr w:rsidR="006C7493" w:rsidTr="0032090A" w14:paraId="46B1E35B" w14:textId="77777777">
        <w:trPr>
          <w:trHeight w:val="293"/>
        </w:trPr>
        <w:tc>
          <w:tcPr>
            <w:tcW w:w="1694" w:type="dxa"/>
            <w:vMerge w:val="restart"/>
          </w:tcPr>
          <w:p w:rsidRPr="00995633" w:rsidR="006C7493" w:rsidP="0032090A" w:rsidRDefault="006C7493" w14:paraId="39795BC9" w14:textId="77777777">
            <w:pPr>
              <w:spacing w:line="276" w:lineRule="auto"/>
              <w:rPr>
                <w:sz w:val="20"/>
                <w:szCs w:val="20"/>
              </w:rPr>
            </w:pPr>
            <w:r w:rsidRPr="00995633">
              <w:rPr>
                <w:sz w:val="20"/>
                <w:szCs w:val="20"/>
              </w:rPr>
              <w:t>Denemarken</w:t>
            </w:r>
          </w:p>
        </w:tc>
        <w:tc>
          <w:tcPr>
            <w:tcW w:w="1027" w:type="dxa"/>
            <w:tcBorders>
              <w:bottom w:val="dotted" w:color="auto" w:sz="4" w:space="0"/>
            </w:tcBorders>
          </w:tcPr>
          <w:p w:rsidRPr="00995633" w:rsidR="006C7493" w:rsidP="0032090A" w:rsidRDefault="006C7493" w14:paraId="7FC2F606"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7565335F" w14:textId="77777777">
            <w:pPr>
              <w:spacing w:line="276" w:lineRule="auto"/>
              <w:rPr>
                <w:sz w:val="20"/>
                <w:szCs w:val="20"/>
              </w:rPr>
            </w:pPr>
            <w:r>
              <w:rPr>
                <w:sz w:val="20"/>
                <w:szCs w:val="20"/>
              </w:rPr>
              <w:t>-</w:t>
            </w:r>
          </w:p>
        </w:tc>
        <w:tc>
          <w:tcPr>
            <w:tcW w:w="3676" w:type="dxa"/>
            <w:tcBorders>
              <w:bottom w:val="dotted" w:color="auto" w:sz="4" w:space="0"/>
              <w:right w:val="dotted" w:color="auto" w:sz="4" w:space="0"/>
            </w:tcBorders>
          </w:tcPr>
          <w:p w:rsidRPr="00995633" w:rsidR="006C7493" w:rsidP="0032090A" w:rsidRDefault="006C7493" w14:paraId="4670B2A1" w14:textId="77777777">
            <w:pPr>
              <w:spacing w:line="276" w:lineRule="auto"/>
              <w:rPr>
                <w:sz w:val="20"/>
                <w:szCs w:val="20"/>
              </w:rPr>
            </w:pPr>
            <w:r>
              <w:rPr>
                <w:sz w:val="20"/>
                <w:szCs w:val="20"/>
              </w:rPr>
              <w:t>5,1%</w:t>
            </w:r>
          </w:p>
        </w:tc>
        <w:tc>
          <w:tcPr>
            <w:tcW w:w="3601" w:type="dxa"/>
            <w:tcBorders>
              <w:left w:val="dotted" w:color="auto" w:sz="4" w:space="0"/>
              <w:bottom w:val="dotted" w:color="auto" w:sz="4" w:space="0"/>
            </w:tcBorders>
          </w:tcPr>
          <w:p w:rsidRPr="00995633" w:rsidR="006C7493" w:rsidP="0032090A" w:rsidRDefault="006C7493" w14:paraId="6C81B2B6" w14:textId="77777777">
            <w:pPr>
              <w:spacing w:line="276" w:lineRule="auto"/>
              <w:rPr>
                <w:sz w:val="20"/>
                <w:szCs w:val="20"/>
              </w:rPr>
            </w:pPr>
            <w:r>
              <w:rPr>
                <w:sz w:val="20"/>
                <w:szCs w:val="20"/>
              </w:rPr>
              <w:t>3,3%</w:t>
            </w:r>
          </w:p>
        </w:tc>
      </w:tr>
      <w:tr w:rsidR="006C7493" w:rsidTr="0032090A" w14:paraId="3CD6CB58" w14:textId="77777777">
        <w:trPr>
          <w:trHeight w:val="293"/>
        </w:trPr>
        <w:tc>
          <w:tcPr>
            <w:tcW w:w="1694" w:type="dxa"/>
            <w:vMerge/>
          </w:tcPr>
          <w:p w:rsidRPr="00995633" w:rsidR="006C7493" w:rsidP="0032090A" w:rsidRDefault="006C7493" w14:paraId="316C01FC"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1794F7EB" w14:textId="77777777">
            <w:pPr>
              <w:spacing w:line="276" w:lineRule="auto"/>
              <w:rPr>
                <w:i/>
                <w:iCs/>
                <w:sz w:val="20"/>
                <w:szCs w:val="20"/>
              </w:rPr>
            </w:pPr>
            <w:r w:rsidRPr="00995633">
              <w:rPr>
                <w:i/>
                <w:iCs/>
                <w:sz w:val="20"/>
                <w:szCs w:val="20"/>
              </w:rPr>
              <w:t>202</w:t>
            </w:r>
            <w:r>
              <w:rPr>
                <w:i/>
                <w:iCs/>
                <w:sz w:val="20"/>
                <w:szCs w:val="20"/>
              </w:rPr>
              <w:t>5</w:t>
            </w:r>
          </w:p>
        </w:tc>
        <w:tc>
          <w:tcPr>
            <w:tcW w:w="3532" w:type="dxa"/>
            <w:tcBorders>
              <w:top w:val="dotted" w:color="auto" w:sz="4" w:space="0"/>
            </w:tcBorders>
          </w:tcPr>
          <w:p w:rsidRPr="00995633" w:rsidR="006C7493" w:rsidP="0032090A" w:rsidRDefault="006C7493" w14:paraId="48F79DE7" w14:textId="77777777">
            <w:pPr>
              <w:spacing w:line="276" w:lineRule="auto"/>
              <w:rPr>
                <w:sz w:val="20"/>
                <w:szCs w:val="20"/>
              </w:rPr>
            </w:pPr>
            <w:r>
              <w:rPr>
                <w:sz w:val="20"/>
                <w:szCs w:val="20"/>
              </w:rPr>
              <w:t>5,0%</w:t>
            </w:r>
          </w:p>
        </w:tc>
        <w:tc>
          <w:tcPr>
            <w:tcW w:w="3676" w:type="dxa"/>
            <w:tcBorders>
              <w:top w:val="dotted" w:color="auto" w:sz="4" w:space="0"/>
              <w:right w:val="dotted" w:color="auto" w:sz="4" w:space="0"/>
            </w:tcBorders>
          </w:tcPr>
          <w:p w:rsidRPr="00995633" w:rsidR="006C7493" w:rsidP="0032090A" w:rsidRDefault="006C7493" w14:paraId="5E719536" w14:textId="77777777">
            <w:pPr>
              <w:spacing w:line="276" w:lineRule="auto"/>
              <w:rPr>
                <w:sz w:val="20"/>
                <w:szCs w:val="20"/>
              </w:rPr>
            </w:pPr>
            <w:r>
              <w:rPr>
                <w:sz w:val="20"/>
                <w:szCs w:val="20"/>
              </w:rPr>
              <w:t>8,2%</w:t>
            </w:r>
          </w:p>
        </w:tc>
        <w:tc>
          <w:tcPr>
            <w:tcW w:w="3601" w:type="dxa"/>
            <w:tcBorders>
              <w:top w:val="dotted" w:color="auto" w:sz="4" w:space="0"/>
              <w:left w:val="dotted" w:color="auto" w:sz="4" w:space="0"/>
            </w:tcBorders>
          </w:tcPr>
          <w:p w:rsidRPr="00995633" w:rsidR="006C7493" w:rsidP="0032090A" w:rsidRDefault="006C7493" w14:paraId="467620D8" w14:textId="77777777">
            <w:pPr>
              <w:spacing w:line="276" w:lineRule="auto"/>
              <w:rPr>
                <w:sz w:val="20"/>
                <w:szCs w:val="20"/>
              </w:rPr>
            </w:pPr>
            <w:r>
              <w:rPr>
                <w:sz w:val="20"/>
                <w:szCs w:val="20"/>
              </w:rPr>
              <w:t>10,0</w:t>
            </w:r>
            <w:r w:rsidRPr="00995633">
              <w:rPr>
                <w:sz w:val="20"/>
                <w:szCs w:val="20"/>
              </w:rPr>
              <w:t>%</w:t>
            </w:r>
          </w:p>
        </w:tc>
      </w:tr>
      <w:tr w:rsidR="006C7493" w:rsidTr="0032090A" w14:paraId="54937D3D" w14:textId="77777777">
        <w:trPr>
          <w:trHeight w:val="293"/>
        </w:trPr>
        <w:tc>
          <w:tcPr>
            <w:tcW w:w="1694" w:type="dxa"/>
            <w:vMerge w:val="restart"/>
          </w:tcPr>
          <w:p w:rsidRPr="00995633" w:rsidR="006C7493" w:rsidP="0032090A" w:rsidRDefault="006C7493" w14:paraId="1743D6BF" w14:textId="77777777">
            <w:pPr>
              <w:spacing w:line="276" w:lineRule="auto"/>
              <w:rPr>
                <w:sz w:val="20"/>
                <w:szCs w:val="20"/>
              </w:rPr>
            </w:pPr>
            <w:r w:rsidRPr="00995633">
              <w:rPr>
                <w:sz w:val="20"/>
                <w:szCs w:val="20"/>
              </w:rPr>
              <w:t>Duitsland</w:t>
            </w:r>
            <w:r w:rsidRPr="00995633">
              <w:rPr>
                <w:sz w:val="20"/>
                <w:szCs w:val="20"/>
              </w:rPr>
              <w:br/>
            </w:r>
          </w:p>
        </w:tc>
        <w:tc>
          <w:tcPr>
            <w:tcW w:w="1027" w:type="dxa"/>
            <w:tcBorders>
              <w:bottom w:val="dotted" w:color="auto" w:sz="4" w:space="0"/>
            </w:tcBorders>
          </w:tcPr>
          <w:p w:rsidRPr="00995633" w:rsidR="006C7493" w:rsidP="0032090A" w:rsidRDefault="006C7493" w14:paraId="209226D2"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21E7FA11" w14:textId="77777777">
            <w:pPr>
              <w:spacing w:line="276" w:lineRule="auto"/>
              <w:rPr>
                <w:sz w:val="20"/>
                <w:szCs w:val="20"/>
              </w:rPr>
            </w:pPr>
            <w:r>
              <w:rPr>
                <w:sz w:val="20"/>
                <w:szCs w:val="20"/>
              </w:rPr>
              <w:t>-</w:t>
            </w:r>
          </w:p>
        </w:tc>
        <w:tc>
          <w:tcPr>
            <w:tcW w:w="3676" w:type="dxa"/>
            <w:tcBorders>
              <w:bottom w:val="dotted" w:color="auto" w:sz="4" w:space="0"/>
              <w:right w:val="dotted" w:color="auto" w:sz="4" w:space="0"/>
            </w:tcBorders>
          </w:tcPr>
          <w:p w:rsidRPr="00995633" w:rsidR="006C7493" w:rsidP="0032090A" w:rsidRDefault="006C7493" w14:paraId="5B71255B" w14:textId="77777777">
            <w:pPr>
              <w:spacing w:line="276" w:lineRule="auto"/>
              <w:rPr>
                <w:sz w:val="20"/>
                <w:szCs w:val="20"/>
              </w:rPr>
            </w:pPr>
            <w:r>
              <w:rPr>
                <w:sz w:val="20"/>
                <w:szCs w:val="20"/>
              </w:rPr>
              <w:t>-</w:t>
            </w:r>
          </w:p>
        </w:tc>
        <w:tc>
          <w:tcPr>
            <w:tcW w:w="3601" w:type="dxa"/>
            <w:tcBorders>
              <w:left w:val="dotted" w:color="auto" w:sz="4" w:space="0"/>
              <w:bottom w:val="dotted" w:color="auto" w:sz="4" w:space="0"/>
            </w:tcBorders>
          </w:tcPr>
          <w:p w:rsidRPr="00995633" w:rsidR="006C7493" w:rsidP="0032090A" w:rsidRDefault="006C7493" w14:paraId="1EB30354" w14:textId="77777777">
            <w:pPr>
              <w:spacing w:line="276" w:lineRule="auto"/>
              <w:rPr>
                <w:sz w:val="20"/>
                <w:szCs w:val="20"/>
              </w:rPr>
            </w:pPr>
            <w:r>
              <w:rPr>
                <w:sz w:val="20"/>
                <w:szCs w:val="20"/>
              </w:rPr>
              <w:t>4,0%</w:t>
            </w:r>
          </w:p>
        </w:tc>
      </w:tr>
      <w:tr w:rsidR="006C7493" w:rsidTr="0032090A" w14:paraId="3A8ADB48" w14:textId="77777777">
        <w:trPr>
          <w:trHeight w:val="292"/>
        </w:trPr>
        <w:tc>
          <w:tcPr>
            <w:tcW w:w="1694" w:type="dxa"/>
            <w:vMerge/>
          </w:tcPr>
          <w:p w:rsidRPr="00995633" w:rsidR="006C7493" w:rsidP="0032090A" w:rsidRDefault="006C7493" w14:paraId="39387131"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455B2B15" w14:textId="77777777">
            <w:pPr>
              <w:spacing w:line="276" w:lineRule="auto"/>
              <w:rPr>
                <w:sz w:val="20"/>
                <w:szCs w:val="20"/>
              </w:rPr>
            </w:pPr>
            <w:r w:rsidRPr="00995633">
              <w:rPr>
                <w:i/>
                <w:iCs/>
                <w:sz w:val="20"/>
                <w:szCs w:val="20"/>
              </w:rPr>
              <w:t>202</w:t>
            </w:r>
            <w:r>
              <w:rPr>
                <w:i/>
                <w:iCs/>
                <w:sz w:val="20"/>
                <w:szCs w:val="20"/>
              </w:rPr>
              <w:t>5</w:t>
            </w:r>
          </w:p>
        </w:tc>
        <w:tc>
          <w:tcPr>
            <w:tcW w:w="3532" w:type="dxa"/>
            <w:tcBorders>
              <w:top w:val="dotted" w:color="auto" w:sz="4" w:space="0"/>
            </w:tcBorders>
          </w:tcPr>
          <w:p w:rsidRPr="00995633" w:rsidR="006C7493" w:rsidP="0032090A" w:rsidRDefault="006C7493" w14:paraId="5590AD01" w14:textId="77777777">
            <w:pPr>
              <w:spacing w:line="276" w:lineRule="auto"/>
              <w:rPr>
                <w:sz w:val="20"/>
                <w:szCs w:val="20"/>
              </w:rPr>
            </w:pPr>
            <w:r>
              <w:rPr>
                <w:sz w:val="20"/>
                <w:szCs w:val="20"/>
              </w:rPr>
              <w:t>-</w:t>
            </w:r>
          </w:p>
        </w:tc>
        <w:tc>
          <w:tcPr>
            <w:tcW w:w="3676" w:type="dxa"/>
            <w:tcBorders>
              <w:top w:val="dotted" w:color="auto" w:sz="4" w:space="0"/>
              <w:right w:val="dotted" w:color="auto" w:sz="4" w:space="0"/>
            </w:tcBorders>
          </w:tcPr>
          <w:p w:rsidRPr="00995633" w:rsidR="006C7493" w:rsidP="0032090A" w:rsidRDefault="006C7493" w14:paraId="2A49DA2E" w14:textId="77777777">
            <w:pPr>
              <w:spacing w:line="276" w:lineRule="auto"/>
              <w:rPr>
                <w:sz w:val="20"/>
                <w:szCs w:val="20"/>
              </w:rPr>
            </w:pPr>
            <w:r>
              <w:rPr>
                <w:sz w:val="20"/>
                <w:szCs w:val="20"/>
              </w:rPr>
              <w:t>-</w:t>
            </w:r>
          </w:p>
        </w:tc>
        <w:tc>
          <w:tcPr>
            <w:tcW w:w="3601" w:type="dxa"/>
            <w:tcBorders>
              <w:top w:val="dotted" w:color="auto" w:sz="4" w:space="0"/>
              <w:left w:val="dotted" w:color="auto" w:sz="4" w:space="0"/>
            </w:tcBorders>
          </w:tcPr>
          <w:p w:rsidRPr="00995633" w:rsidR="006C7493" w:rsidP="0032090A" w:rsidRDefault="006C7493" w14:paraId="6E43CFE1" w14:textId="77777777">
            <w:pPr>
              <w:spacing w:line="276" w:lineRule="auto"/>
              <w:rPr>
                <w:sz w:val="20"/>
                <w:szCs w:val="20"/>
              </w:rPr>
            </w:pPr>
            <w:r>
              <w:rPr>
                <w:sz w:val="20"/>
                <w:szCs w:val="20"/>
              </w:rPr>
              <w:t>2,1</w:t>
            </w:r>
            <w:r w:rsidRPr="00995633">
              <w:rPr>
                <w:sz w:val="20"/>
                <w:szCs w:val="20"/>
              </w:rPr>
              <w:t>%</w:t>
            </w:r>
          </w:p>
        </w:tc>
      </w:tr>
      <w:tr w:rsidR="006C7493" w:rsidTr="0032090A" w14:paraId="78F10FB7" w14:textId="77777777">
        <w:trPr>
          <w:trHeight w:val="249"/>
        </w:trPr>
        <w:tc>
          <w:tcPr>
            <w:tcW w:w="1694" w:type="dxa"/>
            <w:vMerge w:val="restart"/>
          </w:tcPr>
          <w:p w:rsidRPr="00995633" w:rsidR="006C7493" w:rsidP="0032090A" w:rsidRDefault="006C7493" w14:paraId="7C0B2C66" w14:textId="77777777">
            <w:pPr>
              <w:spacing w:line="276" w:lineRule="auto"/>
              <w:rPr>
                <w:sz w:val="20"/>
                <w:szCs w:val="20"/>
              </w:rPr>
            </w:pPr>
            <w:r w:rsidRPr="00995633">
              <w:rPr>
                <w:sz w:val="20"/>
                <w:szCs w:val="20"/>
              </w:rPr>
              <w:t>Estland</w:t>
            </w:r>
            <w:r w:rsidRPr="00995633">
              <w:rPr>
                <w:sz w:val="20"/>
                <w:szCs w:val="20"/>
              </w:rPr>
              <w:br/>
            </w:r>
          </w:p>
        </w:tc>
        <w:tc>
          <w:tcPr>
            <w:tcW w:w="1027" w:type="dxa"/>
            <w:tcBorders>
              <w:bottom w:val="dotted" w:color="auto" w:sz="4" w:space="0"/>
            </w:tcBorders>
          </w:tcPr>
          <w:p w:rsidRPr="00995633" w:rsidR="006C7493" w:rsidP="0032090A" w:rsidRDefault="006C7493" w14:paraId="53B33DB0"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1E5273DD" w14:textId="77777777">
            <w:pPr>
              <w:spacing w:line="276" w:lineRule="auto"/>
              <w:rPr>
                <w:sz w:val="20"/>
                <w:szCs w:val="20"/>
              </w:rPr>
            </w:pPr>
            <w:r>
              <w:rPr>
                <w:sz w:val="20"/>
                <w:szCs w:val="20"/>
              </w:rPr>
              <w:t>1,9%</w:t>
            </w:r>
          </w:p>
        </w:tc>
        <w:tc>
          <w:tcPr>
            <w:tcW w:w="3676" w:type="dxa"/>
            <w:tcBorders>
              <w:bottom w:val="dotted" w:color="auto" w:sz="4" w:space="0"/>
              <w:right w:val="dotted" w:color="auto" w:sz="4" w:space="0"/>
            </w:tcBorders>
          </w:tcPr>
          <w:p w:rsidRPr="00995633" w:rsidR="006C7493" w:rsidP="0032090A" w:rsidRDefault="006C7493" w14:paraId="5C33A07A" w14:textId="77777777">
            <w:pPr>
              <w:spacing w:line="276" w:lineRule="auto"/>
              <w:rPr>
                <w:sz w:val="20"/>
                <w:szCs w:val="20"/>
              </w:rPr>
            </w:pPr>
            <w:r>
              <w:rPr>
                <w:sz w:val="20"/>
                <w:szCs w:val="20"/>
              </w:rPr>
              <w:t>1,1</w:t>
            </w:r>
          </w:p>
        </w:tc>
        <w:tc>
          <w:tcPr>
            <w:tcW w:w="3601" w:type="dxa"/>
            <w:tcBorders>
              <w:left w:val="dotted" w:color="auto" w:sz="4" w:space="0"/>
              <w:bottom w:val="dotted" w:color="auto" w:sz="4" w:space="0"/>
            </w:tcBorders>
          </w:tcPr>
          <w:p w:rsidRPr="00995633" w:rsidR="006C7493" w:rsidP="0032090A" w:rsidRDefault="006C7493" w14:paraId="43A05531" w14:textId="77777777">
            <w:pPr>
              <w:spacing w:line="276" w:lineRule="auto"/>
              <w:rPr>
                <w:sz w:val="20"/>
                <w:szCs w:val="20"/>
              </w:rPr>
            </w:pPr>
            <w:r>
              <w:rPr>
                <w:sz w:val="20"/>
                <w:szCs w:val="20"/>
              </w:rPr>
              <w:t>1,8%</w:t>
            </w:r>
          </w:p>
        </w:tc>
      </w:tr>
      <w:tr w:rsidR="006C7493" w:rsidTr="0032090A" w14:paraId="002EAB9C" w14:textId="77777777">
        <w:trPr>
          <w:trHeight w:val="320"/>
        </w:trPr>
        <w:tc>
          <w:tcPr>
            <w:tcW w:w="1694" w:type="dxa"/>
            <w:vMerge/>
          </w:tcPr>
          <w:p w:rsidRPr="00995633" w:rsidR="006C7493" w:rsidP="0032090A" w:rsidRDefault="006C7493" w14:paraId="52F4D44B"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158121FB" w14:textId="77777777">
            <w:pPr>
              <w:spacing w:line="276" w:lineRule="auto"/>
              <w:rPr>
                <w:sz w:val="20"/>
                <w:szCs w:val="20"/>
              </w:rPr>
            </w:pPr>
            <w:r w:rsidRPr="00995633">
              <w:rPr>
                <w:i/>
                <w:iCs/>
                <w:sz w:val="20"/>
                <w:szCs w:val="20"/>
              </w:rPr>
              <w:t>202</w:t>
            </w:r>
            <w:r>
              <w:rPr>
                <w:i/>
                <w:iCs/>
                <w:sz w:val="20"/>
                <w:szCs w:val="20"/>
              </w:rPr>
              <w:t>5</w:t>
            </w:r>
          </w:p>
        </w:tc>
        <w:tc>
          <w:tcPr>
            <w:tcW w:w="3532" w:type="dxa"/>
            <w:tcBorders>
              <w:top w:val="dotted" w:color="auto" w:sz="4" w:space="0"/>
            </w:tcBorders>
          </w:tcPr>
          <w:p w:rsidRPr="00995633" w:rsidR="006C7493" w:rsidP="0032090A" w:rsidRDefault="006C7493" w14:paraId="160160C5" w14:textId="77777777">
            <w:pPr>
              <w:spacing w:line="276" w:lineRule="auto"/>
              <w:rPr>
                <w:sz w:val="20"/>
                <w:szCs w:val="20"/>
              </w:rPr>
            </w:pPr>
            <w:r>
              <w:rPr>
                <w:sz w:val="20"/>
                <w:szCs w:val="20"/>
              </w:rPr>
              <w:t>7,1%</w:t>
            </w:r>
          </w:p>
        </w:tc>
        <w:tc>
          <w:tcPr>
            <w:tcW w:w="3676" w:type="dxa"/>
            <w:tcBorders>
              <w:top w:val="dotted" w:color="auto" w:sz="4" w:space="0"/>
              <w:right w:val="dotted" w:color="auto" w:sz="4" w:space="0"/>
            </w:tcBorders>
          </w:tcPr>
          <w:p w:rsidRPr="00995633" w:rsidR="006C7493" w:rsidP="0032090A" w:rsidRDefault="006C7493" w14:paraId="4DEA1D16" w14:textId="77777777">
            <w:pPr>
              <w:spacing w:line="276" w:lineRule="auto"/>
              <w:rPr>
                <w:sz w:val="20"/>
                <w:szCs w:val="20"/>
              </w:rPr>
            </w:pPr>
            <w:r>
              <w:rPr>
                <w:sz w:val="20"/>
                <w:szCs w:val="20"/>
              </w:rPr>
              <w:t>1,0%</w:t>
            </w:r>
          </w:p>
        </w:tc>
        <w:tc>
          <w:tcPr>
            <w:tcW w:w="3601" w:type="dxa"/>
            <w:tcBorders>
              <w:top w:val="dotted" w:color="auto" w:sz="4" w:space="0"/>
              <w:left w:val="dotted" w:color="auto" w:sz="4" w:space="0"/>
            </w:tcBorders>
          </w:tcPr>
          <w:p w:rsidRPr="00995633" w:rsidR="006C7493" w:rsidP="0032090A" w:rsidRDefault="006C7493" w14:paraId="296AC5B0" w14:textId="77777777">
            <w:pPr>
              <w:spacing w:line="276" w:lineRule="auto"/>
              <w:rPr>
                <w:sz w:val="20"/>
                <w:szCs w:val="20"/>
              </w:rPr>
            </w:pPr>
            <w:r>
              <w:rPr>
                <w:sz w:val="20"/>
                <w:szCs w:val="20"/>
              </w:rPr>
              <w:t>2,1</w:t>
            </w:r>
            <w:r w:rsidRPr="00995633">
              <w:rPr>
                <w:sz w:val="20"/>
                <w:szCs w:val="20"/>
              </w:rPr>
              <w:t>%</w:t>
            </w:r>
          </w:p>
        </w:tc>
      </w:tr>
      <w:tr w:rsidR="006C7493" w:rsidTr="0032090A" w14:paraId="7AF89C39" w14:textId="77777777">
        <w:trPr>
          <w:trHeight w:val="75"/>
        </w:trPr>
        <w:tc>
          <w:tcPr>
            <w:tcW w:w="1694" w:type="dxa"/>
            <w:vMerge w:val="restart"/>
          </w:tcPr>
          <w:p w:rsidRPr="00995633" w:rsidR="006C7493" w:rsidP="0032090A" w:rsidRDefault="006C7493" w14:paraId="197A3BC4" w14:textId="77777777">
            <w:pPr>
              <w:spacing w:line="276" w:lineRule="auto"/>
              <w:rPr>
                <w:sz w:val="20"/>
                <w:szCs w:val="20"/>
              </w:rPr>
            </w:pPr>
            <w:r w:rsidRPr="00995633">
              <w:rPr>
                <w:sz w:val="20"/>
                <w:szCs w:val="20"/>
              </w:rPr>
              <w:t>Finland</w:t>
            </w:r>
          </w:p>
        </w:tc>
        <w:tc>
          <w:tcPr>
            <w:tcW w:w="1027" w:type="dxa"/>
            <w:tcBorders>
              <w:bottom w:val="dotted" w:color="auto" w:sz="4" w:space="0"/>
            </w:tcBorders>
          </w:tcPr>
          <w:p w:rsidRPr="00995633" w:rsidR="006C7493" w:rsidP="0032090A" w:rsidRDefault="006C7493" w14:paraId="01539B9C"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7F856380" w14:textId="77777777">
            <w:pPr>
              <w:spacing w:line="276" w:lineRule="auto"/>
              <w:rPr>
                <w:sz w:val="20"/>
                <w:szCs w:val="20"/>
              </w:rPr>
            </w:pPr>
            <w:r>
              <w:rPr>
                <w:sz w:val="20"/>
                <w:szCs w:val="20"/>
              </w:rPr>
              <w:t>3,7%</w:t>
            </w:r>
          </w:p>
        </w:tc>
        <w:tc>
          <w:tcPr>
            <w:tcW w:w="3676" w:type="dxa"/>
            <w:tcBorders>
              <w:bottom w:val="dotted" w:color="auto" w:sz="4" w:space="0"/>
              <w:right w:val="dotted" w:color="auto" w:sz="4" w:space="0"/>
            </w:tcBorders>
          </w:tcPr>
          <w:p w:rsidRPr="00995633" w:rsidR="006C7493" w:rsidP="0032090A" w:rsidRDefault="006C7493" w14:paraId="3B4721DD" w14:textId="77777777">
            <w:pPr>
              <w:spacing w:line="276" w:lineRule="auto"/>
              <w:rPr>
                <w:sz w:val="20"/>
                <w:szCs w:val="20"/>
              </w:rPr>
            </w:pPr>
            <w:r>
              <w:rPr>
                <w:sz w:val="20"/>
                <w:szCs w:val="20"/>
              </w:rPr>
              <w:t>3,2%</w:t>
            </w:r>
          </w:p>
        </w:tc>
        <w:tc>
          <w:tcPr>
            <w:tcW w:w="3601" w:type="dxa"/>
            <w:tcBorders>
              <w:left w:val="dotted" w:color="auto" w:sz="4" w:space="0"/>
              <w:bottom w:val="dotted" w:color="auto" w:sz="4" w:space="0"/>
            </w:tcBorders>
          </w:tcPr>
          <w:p w:rsidRPr="00995633" w:rsidR="006C7493" w:rsidP="0032090A" w:rsidRDefault="006C7493" w14:paraId="32EAF653" w14:textId="77777777">
            <w:pPr>
              <w:spacing w:line="276" w:lineRule="auto"/>
              <w:rPr>
                <w:sz w:val="20"/>
                <w:szCs w:val="20"/>
              </w:rPr>
            </w:pPr>
            <w:r>
              <w:rPr>
                <w:sz w:val="20"/>
                <w:szCs w:val="20"/>
              </w:rPr>
              <w:t>3,1%</w:t>
            </w:r>
          </w:p>
        </w:tc>
      </w:tr>
      <w:tr w:rsidR="006C7493" w:rsidTr="0032090A" w14:paraId="7076CF2B" w14:textId="77777777">
        <w:trPr>
          <w:trHeight w:val="173"/>
        </w:trPr>
        <w:tc>
          <w:tcPr>
            <w:tcW w:w="1694" w:type="dxa"/>
            <w:vMerge/>
          </w:tcPr>
          <w:p w:rsidRPr="00995633" w:rsidR="006C7493" w:rsidP="0032090A" w:rsidRDefault="006C7493" w14:paraId="2E8E4140"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226A088C" w14:textId="77777777">
            <w:pPr>
              <w:spacing w:line="276" w:lineRule="auto"/>
              <w:rPr>
                <w:sz w:val="20"/>
                <w:szCs w:val="20"/>
              </w:rPr>
            </w:pPr>
            <w:r w:rsidRPr="00995633">
              <w:rPr>
                <w:i/>
                <w:iCs/>
                <w:sz w:val="20"/>
                <w:szCs w:val="20"/>
              </w:rPr>
              <w:t>202</w:t>
            </w:r>
            <w:r>
              <w:rPr>
                <w:i/>
                <w:iCs/>
                <w:sz w:val="20"/>
                <w:szCs w:val="20"/>
              </w:rPr>
              <w:t>5</w:t>
            </w:r>
          </w:p>
        </w:tc>
        <w:tc>
          <w:tcPr>
            <w:tcW w:w="3532" w:type="dxa"/>
            <w:tcBorders>
              <w:top w:val="dotted" w:color="auto" w:sz="4" w:space="0"/>
            </w:tcBorders>
          </w:tcPr>
          <w:p w:rsidRPr="00995633" w:rsidR="006C7493" w:rsidP="0032090A" w:rsidRDefault="006C7493" w14:paraId="58D6A399" w14:textId="77777777">
            <w:pPr>
              <w:spacing w:line="276" w:lineRule="auto"/>
              <w:rPr>
                <w:sz w:val="20"/>
                <w:szCs w:val="20"/>
              </w:rPr>
            </w:pPr>
            <w:r>
              <w:rPr>
                <w:sz w:val="20"/>
                <w:szCs w:val="20"/>
              </w:rPr>
              <w:t>1,6%</w:t>
            </w:r>
          </w:p>
        </w:tc>
        <w:tc>
          <w:tcPr>
            <w:tcW w:w="3676" w:type="dxa"/>
            <w:tcBorders>
              <w:top w:val="dotted" w:color="auto" w:sz="4" w:space="0"/>
              <w:right w:val="dotted" w:color="auto" w:sz="4" w:space="0"/>
            </w:tcBorders>
          </w:tcPr>
          <w:p w:rsidRPr="00995633" w:rsidR="006C7493" w:rsidP="0032090A" w:rsidRDefault="006C7493" w14:paraId="3D4EFC06" w14:textId="77777777">
            <w:pPr>
              <w:spacing w:line="276" w:lineRule="auto"/>
              <w:rPr>
                <w:sz w:val="20"/>
                <w:szCs w:val="20"/>
              </w:rPr>
            </w:pPr>
            <w:r>
              <w:rPr>
                <w:sz w:val="20"/>
                <w:szCs w:val="20"/>
              </w:rPr>
              <w:t>1,6%</w:t>
            </w:r>
          </w:p>
        </w:tc>
        <w:tc>
          <w:tcPr>
            <w:tcW w:w="3601" w:type="dxa"/>
            <w:tcBorders>
              <w:top w:val="dotted" w:color="auto" w:sz="4" w:space="0"/>
              <w:left w:val="dotted" w:color="auto" w:sz="4" w:space="0"/>
            </w:tcBorders>
          </w:tcPr>
          <w:p w:rsidRPr="00995633" w:rsidR="006C7493" w:rsidP="0032090A" w:rsidRDefault="006C7493" w14:paraId="1A274B0C" w14:textId="77777777">
            <w:pPr>
              <w:spacing w:line="276" w:lineRule="auto"/>
              <w:rPr>
                <w:sz w:val="20"/>
                <w:szCs w:val="20"/>
              </w:rPr>
            </w:pPr>
            <w:r>
              <w:rPr>
                <w:sz w:val="20"/>
                <w:szCs w:val="20"/>
              </w:rPr>
              <w:t>1,3</w:t>
            </w:r>
            <w:r w:rsidRPr="00995633">
              <w:rPr>
                <w:sz w:val="20"/>
                <w:szCs w:val="20"/>
              </w:rPr>
              <w:t>%</w:t>
            </w:r>
          </w:p>
        </w:tc>
      </w:tr>
      <w:tr w:rsidR="006C7493" w:rsidTr="0032090A" w14:paraId="1F560CB0" w14:textId="77777777">
        <w:trPr>
          <w:trHeight w:val="118"/>
        </w:trPr>
        <w:tc>
          <w:tcPr>
            <w:tcW w:w="1694" w:type="dxa"/>
            <w:vMerge w:val="restart"/>
          </w:tcPr>
          <w:p w:rsidRPr="00995633" w:rsidR="006C7493" w:rsidP="0032090A" w:rsidRDefault="006C7493" w14:paraId="18F68D39" w14:textId="77777777">
            <w:pPr>
              <w:spacing w:line="276" w:lineRule="auto"/>
              <w:rPr>
                <w:sz w:val="20"/>
                <w:szCs w:val="20"/>
              </w:rPr>
            </w:pPr>
            <w:r w:rsidRPr="00995633">
              <w:rPr>
                <w:sz w:val="20"/>
                <w:szCs w:val="20"/>
              </w:rPr>
              <w:t>Frankrijk</w:t>
            </w:r>
          </w:p>
        </w:tc>
        <w:tc>
          <w:tcPr>
            <w:tcW w:w="1027" w:type="dxa"/>
            <w:tcBorders>
              <w:bottom w:val="dotted" w:color="auto" w:sz="4" w:space="0"/>
            </w:tcBorders>
          </w:tcPr>
          <w:p w:rsidRPr="00995633" w:rsidR="006C7493" w:rsidP="0032090A" w:rsidRDefault="006C7493" w14:paraId="45948D10"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6EF471FB" w14:textId="77777777">
            <w:pPr>
              <w:spacing w:line="276" w:lineRule="auto"/>
              <w:rPr>
                <w:sz w:val="20"/>
                <w:szCs w:val="20"/>
              </w:rPr>
            </w:pPr>
            <w:r>
              <w:rPr>
                <w:sz w:val="20"/>
                <w:szCs w:val="20"/>
              </w:rPr>
              <w:t>3,8%</w:t>
            </w:r>
          </w:p>
        </w:tc>
        <w:tc>
          <w:tcPr>
            <w:tcW w:w="3676" w:type="dxa"/>
            <w:tcBorders>
              <w:bottom w:val="dotted" w:color="auto" w:sz="4" w:space="0"/>
              <w:right w:val="dotted" w:color="auto" w:sz="4" w:space="0"/>
            </w:tcBorders>
          </w:tcPr>
          <w:p w:rsidRPr="00995633" w:rsidR="006C7493" w:rsidP="0032090A" w:rsidRDefault="006C7493" w14:paraId="32C59BDA" w14:textId="77777777">
            <w:pPr>
              <w:spacing w:line="276" w:lineRule="auto"/>
              <w:rPr>
                <w:sz w:val="20"/>
                <w:szCs w:val="20"/>
              </w:rPr>
            </w:pPr>
            <w:r>
              <w:rPr>
                <w:sz w:val="20"/>
                <w:szCs w:val="20"/>
              </w:rPr>
              <w:t>3,3%</w:t>
            </w:r>
          </w:p>
        </w:tc>
        <w:tc>
          <w:tcPr>
            <w:tcW w:w="3601" w:type="dxa"/>
            <w:tcBorders>
              <w:left w:val="dotted" w:color="auto" w:sz="4" w:space="0"/>
              <w:bottom w:val="dotted" w:color="auto" w:sz="4" w:space="0"/>
            </w:tcBorders>
          </w:tcPr>
          <w:p w:rsidRPr="00995633" w:rsidR="006C7493" w:rsidP="0032090A" w:rsidRDefault="006C7493" w14:paraId="61F8C2CD" w14:textId="77777777">
            <w:pPr>
              <w:spacing w:line="276" w:lineRule="auto"/>
              <w:rPr>
                <w:sz w:val="20"/>
                <w:szCs w:val="20"/>
              </w:rPr>
            </w:pPr>
            <w:r>
              <w:rPr>
                <w:sz w:val="20"/>
                <w:szCs w:val="20"/>
              </w:rPr>
              <w:t>3,1%</w:t>
            </w:r>
          </w:p>
        </w:tc>
      </w:tr>
      <w:tr w:rsidR="006C7493" w:rsidTr="0032090A" w14:paraId="3232FCD5" w14:textId="77777777">
        <w:trPr>
          <w:trHeight w:val="129"/>
        </w:trPr>
        <w:tc>
          <w:tcPr>
            <w:tcW w:w="1694" w:type="dxa"/>
            <w:vMerge/>
          </w:tcPr>
          <w:p w:rsidRPr="00995633" w:rsidR="006C7493" w:rsidP="0032090A" w:rsidRDefault="006C7493" w14:paraId="43318A16"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5E8B5923"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22E78A2E" w14:textId="77777777">
            <w:pPr>
              <w:spacing w:line="276" w:lineRule="auto"/>
              <w:rPr>
                <w:sz w:val="20"/>
                <w:szCs w:val="20"/>
              </w:rPr>
            </w:pPr>
            <w:r>
              <w:rPr>
                <w:sz w:val="20"/>
                <w:szCs w:val="20"/>
              </w:rPr>
              <w:t>0,8%</w:t>
            </w:r>
          </w:p>
        </w:tc>
        <w:tc>
          <w:tcPr>
            <w:tcW w:w="3676" w:type="dxa"/>
            <w:tcBorders>
              <w:top w:val="dotted" w:color="auto" w:sz="4" w:space="0"/>
              <w:right w:val="dotted" w:color="auto" w:sz="4" w:space="0"/>
            </w:tcBorders>
          </w:tcPr>
          <w:p w:rsidRPr="00995633" w:rsidR="006C7493" w:rsidP="0032090A" w:rsidRDefault="006C7493" w14:paraId="27ACC0DB" w14:textId="77777777">
            <w:pPr>
              <w:spacing w:line="276" w:lineRule="auto"/>
              <w:rPr>
                <w:sz w:val="20"/>
                <w:szCs w:val="20"/>
              </w:rPr>
            </w:pPr>
            <w:r>
              <w:rPr>
                <w:sz w:val="20"/>
                <w:szCs w:val="20"/>
              </w:rPr>
              <w:t>0,9%</w:t>
            </w:r>
          </w:p>
        </w:tc>
        <w:tc>
          <w:tcPr>
            <w:tcW w:w="3601" w:type="dxa"/>
            <w:tcBorders>
              <w:top w:val="dotted" w:color="auto" w:sz="4" w:space="0"/>
              <w:left w:val="dotted" w:color="auto" w:sz="4" w:space="0"/>
            </w:tcBorders>
          </w:tcPr>
          <w:p w:rsidRPr="00995633" w:rsidR="006C7493" w:rsidP="0032090A" w:rsidRDefault="006C7493" w14:paraId="296F699A" w14:textId="77777777">
            <w:pPr>
              <w:spacing w:line="276" w:lineRule="auto"/>
              <w:rPr>
                <w:sz w:val="20"/>
                <w:szCs w:val="20"/>
              </w:rPr>
            </w:pPr>
            <w:r>
              <w:rPr>
                <w:sz w:val="20"/>
                <w:szCs w:val="20"/>
              </w:rPr>
              <w:t>0,9%</w:t>
            </w:r>
          </w:p>
        </w:tc>
      </w:tr>
      <w:tr w:rsidR="006C7493" w:rsidTr="0032090A" w14:paraId="21C0409F" w14:textId="77777777">
        <w:trPr>
          <w:trHeight w:val="152"/>
        </w:trPr>
        <w:tc>
          <w:tcPr>
            <w:tcW w:w="1694" w:type="dxa"/>
            <w:vMerge w:val="restart"/>
          </w:tcPr>
          <w:p w:rsidRPr="00995633" w:rsidR="006C7493" w:rsidP="0032090A" w:rsidRDefault="006C7493" w14:paraId="691A4095" w14:textId="77777777">
            <w:pPr>
              <w:spacing w:line="276" w:lineRule="auto"/>
              <w:rPr>
                <w:sz w:val="20"/>
                <w:szCs w:val="20"/>
              </w:rPr>
            </w:pPr>
            <w:r w:rsidRPr="00995633">
              <w:rPr>
                <w:sz w:val="20"/>
                <w:szCs w:val="20"/>
              </w:rPr>
              <w:t>Griekenland</w:t>
            </w:r>
          </w:p>
        </w:tc>
        <w:tc>
          <w:tcPr>
            <w:tcW w:w="1027" w:type="dxa"/>
            <w:tcBorders>
              <w:bottom w:val="dotted" w:color="auto" w:sz="4" w:space="0"/>
            </w:tcBorders>
          </w:tcPr>
          <w:p w:rsidRPr="00995633" w:rsidR="006C7493" w:rsidP="0032090A" w:rsidRDefault="006C7493" w14:paraId="2F2C7FBA"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592CD61D" w14:textId="77777777">
            <w:pPr>
              <w:spacing w:line="276" w:lineRule="auto"/>
              <w:rPr>
                <w:sz w:val="20"/>
                <w:szCs w:val="20"/>
              </w:rPr>
            </w:pPr>
            <w:r>
              <w:rPr>
                <w:sz w:val="20"/>
                <w:szCs w:val="20"/>
              </w:rPr>
              <w:t>2,6%</w:t>
            </w:r>
          </w:p>
        </w:tc>
        <w:tc>
          <w:tcPr>
            <w:tcW w:w="3676" w:type="dxa"/>
            <w:tcBorders>
              <w:bottom w:val="dotted" w:color="auto" w:sz="4" w:space="0"/>
              <w:right w:val="dotted" w:color="auto" w:sz="4" w:space="0"/>
            </w:tcBorders>
          </w:tcPr>
          <w:p w:rsidRPr="00995633" w:rsidR="006C7493" w:rsidP="0032090A" w:rsidRDefault="006C7493" w14:paraId="281F04AE" w14:textId="77777777">
            <w:pPr>
              <w:spacing w:line="276" w:lineRule="auto"/>
              <w:rPr>
                <w:sz w:val="20"/>
                <w:szCs w:val="20"/>
              </w:rPr>
            </w:pPr>
            <w:r>
              <w:rPr>
                <w:sz w:val="20"/>
                <w:szCs w:val="20"/>
              </w:rPr>
              <w:t>-0,3%</w:t>
            </w:r>
          </w:p>
        </w:tc>
        <w:tc>
          <w:tcPr>
            <w:tcW w:w="3601" w:type="dxa"/>
            <w:tcBorders>
              <w:left w:val="dotted" w:color="auto" w:sz="4" w:space="0"/>
              <w:bottom w:val="dotted" w:color="auto" w:sz="4" w:space="0"/>
            </w:tcBorders>
          </w:tcPr>
          <w:p w:rsidRPr="00995633" w:rsidR="006C7493" w:rsidP="0032090A" w:rsidRDefault="006C7493" w14:paraId="49036180" w14:textId="77777777">
            <w:pPr>
              <w:spacing w:line="276" w:lineRule="auto"/>
              <w:rPr>
                <w:sz w:val="20"/>
                <w:szCs w:val="20"/>
              </w:rPr>
            </w:pPr>
            <w:r>
              <w:rPr>
                <w:sz w:val="20"/>
                <w:szCs w:val="20"/>
              </w:rPr>
              <w:t>-0,3%</w:t>
            </w:r>
          </w:p>
        </w:tc>
      </w:tr>
      <w:tr w:rsidR="006C7493" w:rsidTr="0032090A" w14:paraId="40083403" w14:textId="77777777">
        <w:trPr>
          <w:trHeight w:val="97"/>
        </w:trPr>
        <w:tc>
          <w:tcPr>
            <w:tcW w:w="1694" w:type="dxa"/>
            <w:vMerge/>
          </w:tcPr>
          <w:p w:rsidRPr="00995633" w:rsidR="006C7493" w:rsidP="0032090A" w:rsidRDefault="006C7493" w14:paraId="677BD46C"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14912A13" w14:textId="77777777">
            <w:pPr>
              <w:spacing w:line="276" w:lineRule="auto"/>
              <w:rPr>
                <w:sz w:val="20"/>
                <w:szCs w:val="20"/>
              </w:rPr>
            </w:pPr>
            <w:r w:rsidRPr="00995633">
              <w:rPr>
                <w:i/>
                <w:iCs/>
                <w:sz w:val="20"/>
                <w:szCs w:val="20"/>
              </w:rPr>
              <w:t>202</w:t>
            </w:r>
            <w:r>
              <w:rPr>
                <w:i/>
                <w:iCs/>
                <w:sz w:val="20"/>
                <w:szCs w:val="20"/>
              </w:rPr>
              <w:t>5</w:t>
            </w:r>
          </w:p>
        </w:tc>
        <w:tc>
          <w:tcPr>
            <w:tcW w:w="3532" w:type="dxa"/>
            <w:tcBorders>
              <w:top w:val="dotted" w:color="auto" w:sz="4" w:space="0"/>
            </w:tcBorders>
          </w:tcPr>
          <w:p w:rsidRPr="00995633" w:rsidR="006C7493" w:rsidP="0032090A" w:rsidRDefault="006C7493" w14:paraId="2007D187" w14:textId="77777777">
            <w:pPr>
              <w:spacing w:line="276" w:lineRule="auto"/>
              <w:rPr>
                <w:sz w:val="20"/>
                <w:szCs w:val="20"/>
              </w:rPr>
            </w:pPr>
            <w:r>
              <w:rPr>
                <w:sz w:val="20"/>
                <w:szCs w:val="20"/>
              </w:rPr>
              <w:t>3,7%</w:t>
            </w:r>
          </w:p>
        </w:tc>
        <w:tc>
          <w:tcPr>
            <w:tcW w:w="3676" w:type="dxa"/>
            <w:tcBorders>
              <w:top w:val="dotted" w:color="auto" w:sz="4" w:space="0"/>
              <w:right w:val="dotted" w:color="auto" w:sz="4" w:space="0"/>
            </w:tcBorders>
          </w:tcPr>
          <w:p w:rsidRPr="00995633" w:rsidR="006C7493" w:rsidP="0032090A" w:rsidRDefault="006C7493" w14:paraId="66FDEB7A" w14:textId="77777777">
            <w:pPr>
              <w:spacing w:line="276" w:lineRule="auto"/>
              <w:rPr>
                <w:sz w:val="20"/>
                <w:szCs w:val="20"/>
              </w:rPr>
            </w:pPr>
            <w:r>
              <w:rPr>
                <w:sz w:val="20"/>
                <w:szCs w:val="20"/>
              </w:rPr>
              <w:t>4,5%</w:t>
            </w:r>
          </w:p>
        </w:tc>
        <w:tc>
          <w:tcPr>
            <w:tcW w:w="3601" w:type="dxa"/>
            <w:tcBorders>
              <w:top w:val="dotted" w:color="auto" w:sz="4" w:space="0"/>
              <w:left w:val="dotted" w:color="auto" w:sz="4" w:space="0"/>
            </w:tcBorders>
          </w:tcPr>
          <w:p w:rsidRPr="00995633" w:rsidR="006C7493" w:rsidP="0032090A" w:rsidRDefault="006C7493" w14:paraId="363F9371" w14:textId="77777777">
            <w:pPr>
              <w:spacing w:line="276" w:lineRule="auto"/>
              <w:rPr>
                <w:sz w:val="20"/>
                <w:szCs w:val="20"/>
              </w:rPr>
            </w:pPr>
            <w:r>
              <w:rPr>
                <w:sz w:val="20"/>
                <w:szCs w:val="20"/>
              </w:rPr>
              <w:t>4,2%</w:t>
            </w:r>
          </w:p>
        </w:tc>
      </w:tr>
      <w:tr w:rsidR="006C7493" w:rsidTr="0032090A" w14:paraId="16723E16" w14:textId="77777777">
        <w:trPr>
          <w:trHeight w:val="141"/>
        </w:trPr>
        <w:tc>
          <w:tcPr>
            <w:tcW w:w="1694" w:type="dxa"/>
            <w:vMerge w:val="restart"/>
          </w:tcPr>
          <w:p w:rsidRPr="00995633" w:rsidR="006C7493" w:rsidP="0032090A" w:rsidRDefault="006C7493" w14:paraId="15C02864" w14:textId="77777777">
            <w:pPr>
              <w:spacing w:line="276" w:lineRule="auto"/>
              <w:rPr>
                <w:sz w:val="20"/>
                <w:szCs w:val="20"/>
              </w:rPr>
            </w:pPr>
            <w:r w:rsidRPr="00995633">
              <w:rPr>
                <w:sz w:val="20"/>
                <w:szCs w:val="20"/>
              </w:rPr>
              <w:t>Hongarije</w:t>
            </w:r>
          </w:p>
        </w:tc>
        <w:tc>
          <w:tcPr>
            <w:tcW w:w="1027" w:type="dxa"/>
            <w:tcBorders>
              <w:bottom w:val="dotted" w:color="auto" w:sz="4" w:space="0"/>
            </w:tcBorders>
          </w:tcPr>
          <w:p w:rsidRPr="00995633" w:rsidR="006C7493" w:rsidP="0032090A" w:rsidRDefault="006C7493" w14:paraId="07DA3AE1"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5A118634" w14:textId="77777777">
            <w:pPr>
              <w:spacing w:line="276" w:lineRule="auto"/>
              <w:rPr>
                <w:sz w:val="20"/>
                <w:szCs w:val="20"/>
              </w:rPr>
            </w:pPr>
            <w:r>
              <w:rPr>
                <w:sz w:val="20"/>
                <w:szCs w:val="20"/>
              </w:rPr>
              <w:t>4,6%</w:t>
            </w:r>
          </w:p>
        </w:tc>
        <w:tc>
          <w:tcPr>
            <w:tcW w:w="3676" w:type="dxa"/>
            <w:tcBorders>
              <w:bottom w:val="dotted" w:color="auto" w:sz="4" w:space="0"/>
              <w:right w:val="dotted" w:color="auto" w:sz="4" w:space="0"/>
            </w:tcBorders>
          </w:tcPr>
          <w:p w:rsidRPr="00995633" w:rsidR="006C7493" w:rsidP="0032090A" w:rsidRDefault="006C7493" w14:paraId="6D566921" w14:textId="77777777">
            <w:pPr>
              <w:spacing w:line="276" w:lineRule="auto"/>
              <w:rPr>
                <w:sz w:val="20"/>
                <w:szCs w:val="20"/>
              </w:rPr>
            </w:pPr>
            <w:r>
              <w:rPr>
                <w:sz w:val="20"/>
                <w:szCs w:val="20"/>
              </w:rPr>
              <w:t>2,3%</w:t>
            </w:r>
          </w:p>
        </w:tc>
        <w:tc>
          <w:tcPr>
            <w:tcW w:w="3601" w:type="dxa"/>
            <w:tcBorders>
              <w:left w:val="dotted" w:color="auto" w:sz="4" w:space="0"/>
              <w:bottom w:val="dotted" w:color="auto" w:sz="4" w:space="0"/>
            </w:tcBorders>
          </w:tcPr>
          <w:p w:rsidRPr="00995633" w:rsidR="006C7493" w:rsidP="0032090A" w:rsidRDefault="006C7493" w14:paraId="270C1AF0" w14:textId="77777777">
            <w:pPr>
              <w:spacing w:line="276" w:lineRule="auto"/>
              <w:rPr>
                <w:sz w:val="20"/>
                <w:szCs w:val="20"/>
              </w:rPr>
            </w:pPr>
            <w:r>
              <w:rPr>
                <w:sz w:val="20"/>
                <w:szCs w:val="20"/>
              </w:rPr>
              <w:t>2,3%</w:t>
            </w:r>
          </w:p>
        </w:tc>
      </w:tr>
      <w:tr w:rsidR="006C7493" w:rsidTr="0032090A" w14:paraId="5EBAB9BC" w14:textId="77777777">
        <w:trPr>
          <w:trHeight w:val="141"/>
        </w:trPr>
        <w:tc>
          <w:tcPr>
            <w:tcW w:w="1694" w:type="dxa"/>
            <w:vMerge/>
          </w:tcPr>
          <w:p w:rsidRPr="00995633" w:rsidR="006C7493" w:rsidP="0032090A" w:rsidRDefault="006C7493" w14:paraId="37C47DC0"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08190B97" w14:textId="77777777">
            <w:pPr>
              <w:spacing w:line="276" w:lineRule="auto"/>
              <w:rPr>
                <w:i/>
                <w:iCs/>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43DE555B" w14:textId="77777777">
            <w:pPr>
              <w:spacing w:line="276" w:lineRule="auto"/>
              <w:rPr>
                <w:sz w:val="20"/>
                <w:szCs w:val="20"/>
              </w:rPr>
            </w:pPr>
            <w:r>
              <w:rPr>
                <w:sz w:val="20"/>
                <w:szCs w:val="20"/>
              </w:rPr>
              <w:t>4,3%</w:t>
            </w:r>
          </w:p>
        </w:tc>
        <w:tc>
          <w:tcPr>
            <w:tcW w:w="3676" w:type="dxa"/>
            <w:tcBorders>
              <w:top w:val="dotted" w:color="auto" w:sz="4" w:space="0"/>
              <w:right w:val="dotted" w:color="auto" w:sz="4" w:space="0"/>
            </w:tcBorders>
          </w:tcPr>
          <w:p w:rsidRPr="00995633" w:rsidR="006C7493" w:rsidP="0032090A" w:rsidRDefault="006C7493" w14:paraId="437D520F" w14:textId="77777777">
            <w:pPr>
              <w:spacing w:line="276" w:lineRule="auto"/>
              <w:rPr>
                <w:sz w:val="20"/>
                <w:szCs w:val="20"/>
              </w:rPr>
            </w:pPr>
            <w:r>
              <w:rPr>
                <w:sz w:val="20"/>
                <w:szCs w:val="20"/>
              </w:rPr>
              <w:t>7,4%</w:t>
            </w:r>
          </w:p>
        </w:tc>
        <w:tc>
          <w:tcPr>
            <w:tcW w:w="3601" w:type="dxa"/>
            <w:tcBorders>
              <w:top w:val="dotted" w:color="auto" w:sz="4" w:space="0"/>
              <w:left w:val="dotted" w:color="auto" w:sz="4" w:space="0"/>
            </w:tcBorders>
          </w:tcPr>
          <w:p w:rsidRPr="00995633" w:rsidR="006C7493" w:rsidP="0032090A" w:rsidRDefault="006C7493" w14:paraId="39C1E6A9" w14:textId="77777777">
            <w:pPr>
              <w:spacing w:line="276" w:lineRule="auto"/>
              <w:rPr>
                <w:sz w:val="20"/>
                <w:szCs w:val="20"/>
              </w:rPr>
            </w:pPr>
            <w:r>
              <w:rPr>
                <w:sz w:val="20"/>
                <w:szCs w:val="20"/>
              </w:rPr>
              <w:t>6,1%</w:t>
            </w:r>
          </w:p>
        </w:tc>
      </w:tr>
      <w:tr w:rsidR="006C7493" w:rsidTr="0032090A" w14:paraId="1CBFEDE4" w14:textId="77777777">
        <w:trPr>
          <w:trHeight w:val="141"/>
        </w:trPr>
        <w:tc>
          <w:tcPr>
            <w:tcW w:w="1694" w:type="dxa"/>
            <w:vMerge w:val="restart"/>
          </w:tcPr>
          <w:p w:rsidRPr="00995633" w:rsidR="006C7493" w:rsidP="0032090A" w:rsidRDefault="006C7493" w14:paraId="3C74410E" w14:textId="77777777">
            <w:pPr>
              <w:spacing w:line="276" w:lineRule="auto"/>
              <w:rPr>
                <w:sz w:val="20"/>
                <w:szCs w:val="20"/>
              </w:rPr>
            </w:pPr>
            <w:r w:rsidRPr="00995633">
              <w:rPr>
                <w:sz w:val="20"/>
                <w:szCs w:val="20"/>
              </w:rPr>
              <w:t>Ierland</w:t>
            </w:r>
          </w:p>
        </w:tc>
        <w:tc>
          <w:tcPr>
            <w:tcW w:w="1027" w:type="dxa"/>
            <w:tcBorders>
              <w:bottom w:val="dotted" w:color="auto" w:sz="4" w:space="0"/>
            </w:tcBorders>
          </w:tcPr>
          <w:p w:rsidRPr="00995633" w:rsidR="006C7493" w:rsidP="0032090A" w:rsidRDefault="006C7493" w14:paraId="52F0952B"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72977FB7" w14:textId="77777777">
            <w:pPr>
              <w:spacing w:line="276" w:lineRule="auto"/>
              <w:rPr>
                <w:sz w:val="20"/>
                <w:szCs w:val="20"/>
              </w:rPr>
            </w:pPr>
            <w:r>
              <w:rPr>
                <w:sz w:val="20"/>
                <w:szCs w:val="20"/>
              </w:rPr>
              <w:t>9,8%</w:t>
            </w:r>
          </w:p>
        </w:tc>
        <w:tc>
          <w:tcPr>
            <w:tcW w:w="3676" w:type="dxa"/>
            <w:tcBorders>
              <w:bottom w:val="dotted" w:color="auto" w:sz="4" w:space="0"/>
              <w:right w:val="dotted" w:color="auto" w:sz="4" w:space="0"/>
            </w:tcBorders>
          </w:tcPr>
          <w:p w:rsidRPr="00995633" w:rsidR="006C7493" w:rsidP="0032090A" w:rsidRDefault="006C7493" w14:paraId="390B7B4E" w14:textId="77777777">
            <w:pPr>
              <w:spacing w:line="276" w:lineRule="auto"/>
              <w:rPr>
                <w:sz w:val="20"/>
                <w:szCs w:val="20"/>
              </w:rPr>
            </w:pPr>
            <w:r>
              <w:rPr>
                <w:sz w:val="20"/>
                <w:szCs w:val="20"/>
              </w:rPr>
              <w:t>8,0%</w:t>
            </w:r>
          </w:p>
        </w:tc>
        <w:tc>
          <w:tcPr>
            <w:tcW w:w="3601" w:type="dxa"/>
            <w:tcBorders>
              <w:left w:val="dotted" w:color="auto" w:sz="4" w:space="0"/>
              <w:bottom w:val="dotted" w:color="auto" w:sz="4" w:space="0"/>
            </w:tcBorders>
          </w:tcPr>
          <w:p w:rsidRPr="00995633" w:rsidR="006C7493" w:rsidP="0032090A" w:rsidRDefault="006C7493" w14:paraId="08862180" w14:textId="77777777">
            <w:pPr>
              <w:spacing w:line="276" w:lineRule="auto"/>
              <w:rPr>
                <w:sz w:val="20"/>
                <w:szCs w:val="20"/>
              </w:rPr>
            </w:pPr>
            <w:r>
              <w:rPr>
                <w:sz w:val="20"/>
                <w:szCs w:val="20"/>
              </w:rPr>
              <w:t>8,2%</w:t>
            </w:r>
          </w:p>
        </w:tc>
      </w:tr>
      <w:tr w:rsidR="006C7493" w:rsidTr="0032090A" w14:paraId="1CBE4D66" w14:textId="77777777">
        <w:trPr>
          <w:trHeight w:val="107"/>
        </w:trPr>
        <w:tc>
          <w:tcPr>
            <w:tcW w:w="1694" w:type="dxa"/>
            <w:vMerge/>
          </w:tcPr>
          <w:p w:rsidRPr="00995633" w:rsidR="006C7493" w:rsidP="0032090A" w:rsidRDefault="006C7493" w14:paraId="0A15F4C3"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075B8169"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5C803ED5" w14:textId="77777777">
            <w:pPr>
              <w:spacing w:line="276" w:lineRule="auto"/>
              <w:rPr>
                <w:sz w:val="20"/>
                <w:szCs w:val="20"/>
              </w:rPr>
            </w:pPr>
            <w:r>
              <w:rPr>
                <w:sz w:val="20"/>
                <w:szCs w:val="20"/>
              </w:rPr>
              <w:t>5,1%</w:t>
            </w:r>
          </w:p>
        </w:tc>
        <w:tc>
          <w:tcPr>
            <w:tcW w:w="3676" w:type="dxa"/>
            <w:tcBorders>
              <w:top w:val="dotted" w:color="auto" w:sz="4" w:space="0"/>
              <w:right w:val="dotted" w:color="auto" w:sz="4" w:space="0"/>
            </w:tcBorders>
          </w:tcPr>
          <w:p w:rsidRPr="00995633" w:rsidR="006C7493" w:rsidP="0032090A" w:rsidRDefault="006C7493" w14:paraId="3EF7593B" w14:textId="77777777">
            <w:pPr>
              <w:spacing w:line="276" w:lineRule="auto"/>
              <w:rPr>
                <w:sz w:val="20"/>
                <w:szCs w:val="20"/>
              </w:rPr>
            </w:pPr>
            <w:r>
              <w:rPr>
                <w:sz w:val="20"/>
                <w:szCs w:val="20"/>
              </w:rPr>
              <w:t>5,3%</w:t>
            </w:r>
          </w:p>
        </w:tc>
        <w:tc>
          <w:tcPr>
            <w:tcW w:w="3601" w:type="dxa"/>
            <w:tcBorders>
              <w:top w:val="dotted" w:color="auto" w:sz="4" w:space="0"/>
              <w:left w:val="dotted" w:color="auto" w:sz="4" w:space="0"/>
            </w:tcBorders>
          </w:tcPr>
          <w:p w:rsidRPr="00995633" w:rsidR="006C7493" w:rsidP="0032090A" w:rsidRDefault="006C7493" w14:paraId="3226FCD5" w14:textId="77777777">
            <w:pPr>
              <w:spacing w:line="276" w:lineRule="auto"/>
              <w:rPr>
                <w:sz w:val="20"/>
                <w:szCs w:val="20"/>
              </w:rPr>
            </w:pPr>
            <w:r>
              <w:rPr>
                <w:sz w:val="20"/>
                <w:szCs w:val="20"/>
              </w:rPr>
              <w:t>6,7%</w:t>
            </w:r>
          </w:p>
        </w:tc>
      </w:tr>
      <w:tr w:rsidR="006C7493" w:rsidTr="0032090A" w14:paraId="695C2ED6" w14:textId="77777777">
        <w:trPr>
          <w:trHeight w:val="129"/>
        </w:trPr>
        <w:tc>
          <w:tcPr>
            <w:tcW w:w="1694" w:type="dxa"/>
            <w:vMerge w:val="restart"/>
          </w:tcPr>
          <w:p w:rsidRPr="00995633" w:rsidR="006C7493" w:rsidP="0032090A" w:rsidRDefault="006C7493" w14:paraId="4BAC099C" w14:textId="77777777">
            <w:pPr>
              <w:spacing w:line="276" w:lineRule="auto"/>
              <w:rPr>
                <w:sz w:val="20"/>
                <w:szCs w:val="20"/>
              </w:rPr>
            </w:pPr>
            <w:r w:rsidRPr="00995633">
              <w:rPr>
                <w:sz w:val="20"/>
                <w:szCs w:val="20"/>
              </w:rPr>
              <w:t>Italië</w:t>
            </w:r>
          </w:p>
        </w:tc>
        <w:tc>
          <w:tcPr>
            <w:tcW w:w="1027" w:type="dxa"/>
            <w:tcBorders>
              <w:bottom w:val="dotted" w:color="auto" w:sz="4" w:space="0"/>
            </w:tcBorders>
          </w:tcPr>
          <w:p w:rsidRPr="00995633" w:rsidR="006C7493" w:rsidP="0032090A" w:rsidRDefault="006C7493" w14:paraId="21F9916C"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7E4C9759" w14:textId="77777777">
            <w:pPr>
              <w:spacing w:line="276" w:lineRule="auto"/>
              <w:rPr>
                <w:sz w:val="20"/>
                <w:szCs w:val="20"/>
              </w:rPr>
            </w:pPr>
            <w:r>
              <w:rPr>
                <w:sz w:val="20"/>
                <w:szCs w:val="20"/>
              </w:rPr>
              <w:t>-1,9%</w:t>
            </w:r>
          </w:p>
        </w:tc>
        <w:tc>
          <w:tcPr>
            <w:tcW w:w="3676" w:type="dxa"/>
            <w:tcBorders>
              <w:bottom w:val="dotted" w:color="auto" w:sz="4" w:space="0"/>
              <w:right w:val="dotted" w:color="auto" w:sz="4" w:space="0"/>
            </w:tcBorders>
          </w:tcPr>
          <w:p w:rsidRPr="00995633" w:rsidR="006C7493" w:rsidP="0032090A" w:rsidRDefault="006C7493" w14:paraId="5B573D99" w14:textId="77777777">
            <w:pPr>
              <w:spacing w:line="276" w:lineRule="auto"/>
              <w:rPr>
                <w:sz w:val="20"/>
                <w:szCs w:val="20"/>
              </w:rPr>
            </w:pPr>
            <w:r>
              <w:rPr>
                <w:sz w:val="20"/>
                <w:szCs w:val="20"/>
              </w:rPr>
              <w:t>-2,1%</w:t>
            </w:r>
          </w:p>
        </w:tc>
        <w:tc>
          <w:tcPr>
            <w:tcW w:w="3601" w:type="dxa"/>
            <w:tcBorders>
              <w:left w:val="dotted" w:color="auto" w:sz="4" w:space="0"/>
              <w:bottom w:val="dotted" w:color="auto" w:sz="4" w:space="0"/>
            </w:tcBorders>
          </w:tcPr>
          <w:p w:rsidRPr="00995633" w:rsidR="006C7493" w:rsidP="0032090A" w:rsidRDefault="006C7493" w14:paraId="3CE2F19F" w14:textId="77777777">
            <w:pPr>
              <w:spacing w:line="276" w:lineRule="auto"/>
              <w:rPr>
                <w:sz w:val="20"/>
                <w:szCs w:val="20"/>
              </w:rPr>
            </w:pPr>
            <w:r>
              <w:rPr>
                <w:sz w:val="20"/>
                <w:szCs w:val="20"/>
              </w:rPr>
              <w:t>-2,2%</w:t>
            </w:r>
          </w:p>
        </w:tc>
      </w:tr>
      <w:tr w:rsidR="006C7493" w:rsidTr="0032090A" w14:paraId="13BFC8C7" w14:textId="77777777">
        <w:trPr>
          <w:trHeight w:val="118"/>
        </w:trPr>
        <w:tc>
          <w:tcPr>
            <w:tcW w:w="1694" w:type="dxa"/>
            <w:vMerge/>
          </w:tcPr>
          <w:p w:rsidRPr="00995633" w:rsidR="006C7493" w:rsidP="0032090A" w:rsidRDefault="006C7493" w14:paraId="107DABED"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403950F4"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71E380C5" w14:textId="77777777">
            <w:pPr>
              <w:spacing w:line="276" w:lineRule="auto"/>
              <w:rPr>
                <w:sz w:val="20"/>
                <w:szCs w:val="20"/>
              </w:rPr>
            </w:pPr>
            <w:r>
              <w:rPr>
                <w:sz w:val="20"/>
                <w:szCs w:val="20"/>
              </w:rPr>
              <w:t>1,3%</w:t>
            </w:r>
          </w:p>
        </w:tc>
        <w:tc>
          <w:tcPr>
            <w:tcW w:w="3676" w:type="dxa"/>
            <w:tcBorders>
              <w:top w:val="dotted" w:color="auto" w:sz="4" w:space="0"/>
              <w:right w:val="dotted" w:color="auto" w:sz="4" w:space="0"/>
            </w:tcBorders>
          </w:tcPr>
          <w:p w:rsidRPr="00995633" w:rsidR="006C7493" w:rsidP="0032090A" w:rsidRDefault="006C7493" w14:paraId="3FD0077E" w14:textId="77777777">
            <w:pPr>
              <w:spacing w:line="276" w:lineRule="auto"/>
              <w:rPr>
                <w:sz w:val="20"/>
                <w:szCs w:val="20"/>
              </w:rPr>
            </w:pPr>
            <w:r>
              <w:rPr>
                <w:sz w:val="20"/>
                <w:szCs w:val="20"/>
              </w:rPr>
              <w:t>1,3%</w:t>
            </w:r>
          </w:p>
        </w:tc>
        <w:tc>
          <w:tcPr>
            <w:tcW w:w="3601" w:type="dxa"/>
            <w:tcBorders>
              <w:top w:val="dotted" w:color="auto" w:sz="4" w:space="0"/>
              <w:left w:val="dotted" w:color="auto" w:sz="4" w:space="0"/>
            </w:tcBorders>
          </w:tcPr>
          <w:p w:rsidRPr="00995633" w:rsidR="006C7493" w:rsidP="0032090A" w:rsidRDefault="006C7493" w14:paraId="2ABC456A" w14:textId="77777777">
            <w:pPr>
              <w:spacing w:line="276" w:lineRule="auto"/>
              <w:rPr>
                <w:sz w:val="20"/>
                <w:szCs w:val="20"/>
              </w:rPr>
            </w:pPr>
            <w:r>
              <w:rPr>
                <w:sz w:val="20"/>
                <w:szCs w:val="20"/>
              </w:rPr>
              <w:t>1,2%</w:t>
            </w:r>
          </w:p>
        </w:tc>
      </w:tr>
      <w:tr w:rsidR="006C7493" w:rsidTr="0032090A" w14:paraId="37B19C84" w14:textId="77777777">
        <w:trPr>
          <w:trHeight w:val="129"/>
        </w:trPr>
        <w:tc>
          <w:tcPr>
            <w:tcW w:w="1694" w:type="dxa"/>
            <w:vMerge w:val="restart"/>
          </w:tcPr>
          <w:p w:rsidRPr="00995633" w:rsidR="006C7493" w:rsidP="0032090A" w:rsidRDefault="006C7493" w14:paraId="3F8648E5" w14:textId="77777777">
            <w:pPr>
              <w:spacing w:line="276" w:lineRule="auto"/>
              <w:rPr>
                <w:sz w:val="20"/>
                <w:szCs w:val="20"/>
              </w:rPr>
            </w:pPr>
            <w:r w:rsidRPr="00995633">
              <w:rPr>
                <w:sz w:val="20"/>
                <w:szCs w:val="20"/>
              </w:rPr>
              <w:t>Kroatië</w:t>
            </w:r>
          </w:p>
        </w:tc>
        <w:tc>
          <w:tcPr>
            <w:tcW w:w="1027" w:type="dxa"/>
            <w:tcBorders>
              <w:bottom w:val="dotted" w:color="auto" w:sz="4" w:space="0"/>
            </w:tcBorders>
          </w:tcPr>
          <w:p w:rsidRPr="00995633" w:rsidR="006C7493" w:rsidP="0032090A" w:rsidRDefault="006C7493" w14:paraId="1DA7416D"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3485A9F8" w14:textId="77777777">
            <w:pPr>
              <w:spacing w:line="276" w:lineRule="auto"/>
              <w:rPr>
                <w:sz w:val="20"/>
                <w:szCs w:val="20"/>
              </w:rPr>
            </w:pPr>
            <w:r>
              <w:rPr>
                <w:sz w:val="20"/>
                <w:szCs w:val="20"/>
              </w:rPr>
              <w:t>18,6%</w:t>
            </w:r>
          </w:p>
        </w:tc>
        <w:tc>
          <w:tcPr>
            <w:tcW w:w="3676" w:type="dxa"/>
            <w:tcBorders>
              <w:bottom w:val="dotted" w:color="auto" w:sz="4" w:space="0"/>
              <w:right w:val="dotted" w:color="auto" w:sz="4" w:space="0"/>
            </w:tcBorders>
          </w:tcPr>
          <w:p w:rsidRPr="00995633" w:rsidR="006C7493" w:rsidP="0032090A" w:rsidRDefault="006C7493" w14:paraId="06D671DA" w14:textId="77777777">
            <w:pPr>
              <w:spacing w:line="276" w:lineRule="auto"/>
              <w:rPr>
                <w:sz w:val="20"/>
                <w:szCs w:val="20"/>
              </w:rPr>
            </w:pPr>
            <w:r>
              <w:rPr>
                <w:sz w:val="20"/>
                <w:szCs w:val="20"/>
              </w:rPr>
              <w:t>17,5%</w:t>
            </w:r>
          </w:p>
        </w:tc>
        <w:tc>
          <w:tcPr>
            <w:tcW w:w="3601" w:type="dxa"/>
            <w:tcBorders>
              <w:left w:val="dotted" w:color="auto" w:sz="4" w:space="0"/>
              <w:bottom w:val="dotted" w:color="auto" w:sz="4" w:space="0"/>
            </w:tcBorders>
          </w:tcPr>
          <w:p w:rsidRPr="00995633" w:rsidR="006C7493" w:rsidP="0032090A" w:rsidRDefault="006C7493" w14:paraId="6BDA7B1B" w14:textId="77777777">
            <w:pPr>
              <w:spacing w:line="276" w:lineRule="auto"/>
              <w:rPr>
                <w:sz w:val="20"/>
                <w:szCs w:val="20"/>
              </w:rPr>
            </w:pPr>
            <w:r>
              <w:rPr>
                <w:sz w:val="20"/>
                <w:szCs w:val="20"/>
              </w:rPr>
              <w:t>17,4%</w:t>
            </w:r>
          </w:p>
        </w:tc>
      </w:tr>
      <w:tr w:rsidR="006C7493" w:rsidTr="0032090A" w14:paraId="6ACE85F2" w14:textId="77777777">
        <w:trPr>
          <w:trHeight w:val="129"/>
        </w:trPr>
        <w:tc>
          <w:tcPr>
            <w:tcW w:w="1694" w:type="dxa"/>
            <w:vMerge/>
          </w:tcPr>
          <w:p w:rsidRPr="00995633" w:rsidR="006C7493" w:rsidP="0032090A" w:rsidRDefault="006C7493" w14:paraId="33CE4866" w14:textId="77777777">
            <w:pPr>
              <w:spacing w:line="276" w:lineRule="auto"/>
              <w:rPr>
                <w:sz w:val="20"/>
                <w:szCs w:val="20"/>
              </w:rPr>
            </w:pPr>
          </w:p>
        </w:tc>
        <w:tc>
          <w:tcPr>
            <w:tcW w:w="1027" w:type="dxa"/>
            <w:tcBorders>
              <w:top w:val="dotted" w:color="auto" w:sz="4" w:space="0"/>
              <w:bottom w:val="dotted" w:color="auto" w:sz="4" w:space="0"/>
            </w:tcBorders>
          </w:tcPr>
          <w:p w:rsidRPr="00995633" w:rsidR="006C7493" w:rsidP="0032090A" w:rsidRDefault="006C7493" w14:paraId="0BBC3FBC" w14:textId="77777777">
            <w:pPr>
              <w:spacing w:line="276" w:lineRule="auto"/>
              <w:rPr>
                <w:i/>
                <w:iCs/>
                <w:sz w:val="20"/>
                <w:szCs w:val="20"/>
              </w:rPr>
            </w:pPr>
            <w:r w:rsidRPr="00995633">
              <w:rPr>
                <w:i/>
                <w:iCs/>
                <w:sz w:val="20"/>
                <w:szCs w:val="20"/>
              </w:rPr>
              <w:t>2025</w:t>
            </w:r>
          </w:p>
        </w:tc>
        <w:tc>
          <w:tcPr>
            <w:tcW w:w="3532" w:type="dxa"/>
            <w:tcBorders>
              <w:top w:val="dotted" w:color="auto" w:sz="4" w:space="0"/>
              <w:bottom w:val="dotted" w:color="auto" w:sz="4" w:space="0"/>
            </w:tcBorders>
          </w:tcPr>
          <w:p w:rsidR="006C7493" w:rsidP="0032090A" w:rsidRDefault="006C7493" w14:paraId="4FE5B822" w14:textId="77777777">
            <w:pPr>
              <w:spacing w:line="276" w:lineRule="auto"/>
              <w:rPr>
                <w:sz w:val="20"/>
                <w:szCs w:val="20"/>
              </w:rPr>
            </w:pPr>
            <w:r>
              <w:rPr>
                <w:sz w:val="20"/>
                <w:szCs w:val="20"/>
              </w:rPr>
              <w:t>6,4%</w:t>
            </w:r>
          </w:p>
          <w:p w:rsidRPr="00995633" w:rsidR="006C7493" w:rsidP="0032090A" w:rsidRDefault="006C7493" w14:paraId="3AD5C9F7" w14:textId="77777777">
            <w:pPr>
              <w:spacing w:line="276" w:lineRule="auto"/>
              <w:rPr>
                <w:sz w:val="20"/>
                <w:szCs w:val="20"/>
              </w:rPr>
            </w:pPr>
          </w:p>
        </w:tc>
        <w:tc>
          <w:tcPr>
            <w:tcW w:w="3676" w:type="dxa"/>
            <w:tcBorders>
              <w:top w:val="dotted" w:color="auto" w:sz="4" w:space="0"/>
              <w:bottom w:val="dotted" w:color="auto" w:sz="4" w:space="0"/>
              <w:right w:val="dotted" w:color="auto" w:sz="4" w:space="0"/>
            </w:tcBorders>
          </w:tcPr>
          <w:p w:rsidRPr="00995633" w:rsidR="006C7493" w:rsidP="0032090A" w:rsidRDefault="006C7493" w14:paraId="36B1EBDD" w14:textId="77777777">
            <w:pPr>
              <w:spacing w:line="276" w:lineRule="auto"/>
              <w:rPr>
                <w:sz w:val="20"/>
                <w:szCs w:val="20"/>
              </w:rPr>
            </w:pPr>
            <w:r>
              <w:rPr>
                <w:sz w:val="20"/>
                <w:szCs w:val="20"/>
              </w:rPr>
              <w:t>7,6%</w:t>
            </w:r>
          </w:p>
        </w:tc>
        <w:tc>
          <w:tcPr>
            <w:tcW w:w="3601" w:type="dxa"/>
            <w:tcBorders>
              <w:top w:val="dotted" w:color="auto" w:sz="4" w:space="0"/>
              <w:left w:val="dotted" w:color="auto" w:sz="4" w:space="0"/>
              <w:bottom w:val="dotted" w:color="auto" w:sz="4" w:space="0"/>
            </w:tcBorders>
          </w:tcPr>
          <w:p w:rsidRPr="00995633" w:rsidR="006C7493" w:rsidP="0032090A" w:rsidRDefault="006C7493" w14:paraId="62B23CAC" w14:textId="77777777">
            <w:pPr>
              <w:spacing w:line="276" w:lineRule="auto"/>
              <w:rPr>
                <w:sz w:val="20"/>
                <w:szCs w:val="20"/>
              </w:rPr>
            </w:pPr>
            <w:r>
              <w:rPr>
                <w:sz w:val="20"/>
                <w:szCs w:val="20"/>
              </w:rPr>
              <w:t>7,9%</w:t>
            </w:r>
          </w:p>
        </w:tc>
      </w:tr>
      <w:tr w:rsidR="006C7493" w:rsidTr="0032090A" w14:paraId="2AD6C12D" w14:textId="77777777">
        <w:trPr>
          <w:trHeight w:val="129"/>
        </w:trPr>
        <w:tc>
          <w:tcPr>
            <w:tcW w:w="1694" w:type="dxa"/>
            <w:vMerge w:val="restart"/>
          </w:tcPr>
          <w:p w:rsidRPr="00995633" w:rsidR="006C7493" w:rsidP="0032090A" w:rsidRDefault="006C7493" w14:paraId="0FF59199" w14:textId="77777777">
            <w:pPr>
              <w:spacing w:line="276" w:lineRule="auto"/>
              <w:rPr>
                <w:sz w:val="20"/>
                <w:szCs w:val="20"/>
              </w:rPr>
            </w:pPr>
            <w:r w:rsidRPr="00995633">
              <w:rPr>
                <w:sz w:val="20"/>
                <w:szCs w:val="20"/>
              </w:rPr>
              <w:lastRenderedPageBreak/>
              <w:t>Letland</w:t>
            </w:r>
          </w:p>
        </w:tc>
        <w:tc>
          <w:tcPr>
            <w:tcW w:w="1027" w:type="dxa"/>
            <w:tcBorders>
              <w:bottom w:val="dotted" w:color="auto" w:sz="4" w:space="0"/>
            </w:tcBorders>
          </w:tcPr>
          <w:p w:rsidRPr="00995633" w:rsidR="006C7493" w:rsidP="0032090A" w:rsidRDefault="006C7493" w14:paraId="5ADF57A6"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45325691" w14:textId="77777777">
            <w:pPr>
              <w:spacing w:line="276" w:lineRule="auto"/>
              <w:rPr>
                <w:sz w:val="20"/>
                <w:szCs w:val="20"/>
              </w:rPr>
            </w:pPr>
            <w:r>
              <w:rPr>
                <w:sz w:val="20"/>
                <w:szCs w:val="20"/>
              </w:rPr>
              <w:t>9,1%</w:t>
            </w:r>
          </w:p>
        </w:tc>
        <w:tc>
          <w:tcPr>
            <w:tcW w:w="3676" w:type="dxa"/>
            <w:tcBorders>
              <w:bottom w:val="dotted" w:color="auto" w:sz="4" w:space="0"/>
              <w:right w:val="dotted" w:color="auto" w:sz="4" w:space="0"/>
            </w:tcBorders>
          </w:tcPr>
          <w:p w:rsidRPr="00995633" w:rsidR="006C7493" w:rsidP="0032090A" w:rsidRDefault="006C7493" w14:paraId="372FDBA8" w14:textId="77777777">
            <w:pPr>
              <w:spacing w:line="276" w:lineRule="auto"/>
              <w:rPr>
                <w:sz w:val="20"/>
                <w:szCs w:val="20"/>
              </w:rPr>
            </w:pPr>
            <w:r>
              <w:rPr>
                <w:sz w:val="20"/>
                <w:szCs w:val="20"/>
              </w:rPr>
              <w:t>3,9%</w:t>
            </w:r>
          </w:p>
        </w:tc>
        <w:tc>
          <w:tcPr>
            <w:tcW w:w="3601" w:type="dxa"/>
            <w:tcBorders>
              <w:left w:val="dotted" w:color="auto" w:sz="4" w:space="0"/>
              <w:bottom w:val="dotted" w:color="auto" w:sz="4" w:space="0"/>
            </w:tcBorders>
          </w:tcPr>
          <w:p w:rsidRPr="00995633" w:rsidR="006C7493" w:rsidP="0032090A" w:rsidRDefault="006C7493" w14:paraId="420A93D9" w14:textId="77777777">
            <w:pPr>
              <w:spacing w:line="276" w:lineRule="auto"/>
              <w:rPr>
                <w:sz w:val="20"/>
                <w:szCs w:val="20"/>
              </w:rPr>
            </w:pPr>
            <w:r>
              <w:rPr>
                <w:sz w:val="20"/>
                <w:szCs w:val="20"/>
              </w:rPr>
              <w:t>4,5%</w:t>
            </w:r>
          </w:p>
        </w:tc>
      </w:tr>
      <w:tr w:rsidR="006C7493" w:rsidTr="0032090A" w14:paraId="44E70CC6" w14:textId="77777777">
        <w:trPr>
          <w:trHeight w:val="118"/>
        </w:trPr>
        <w:tc>
          <w:tcPr>
            <w:tcW w:w="1694" w:type="dxa"/>
            <w:vMerge/>
          </w:tcPr>
          <w:p w:rsidRPr="00995633" w:rsidR="006C7493" w:rsidP="0032090A" w:rsidRDefault="006C7493" w14:paraId="0BBDB0EB"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0738EB7C"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2DAEABCC" w14:textId="77777777">
            <w:pPr>
              <w:spacing w:line="276" w:lineRule="auto"/>
              <w:rPr>
                <w:sz w:val="20"/>
                <w:szCs w:val="20"/>
              </w:rPr>
            </w:pPr>
            <w:r>
              <w:rPr>
                <w:sz w:val="20"/>
                <w:szCs w:val="20"/>
              </w:rPr>
              <w:t>5,9%</w:t>
            </w:r>
          </w:p>
        </w:tc>
        <w:tc>
          <w:tcPr>
            <w:tcW w:w="3676" w:type="dxa"/>
            <w:tcBorders>
              <w:top w:val="dotted" w:color="auto" w:sz="4" w:space="0"/>
              <w:right w:val="dotted" w:color="auto" w:sz="4" w:space="0"/>
            </w:tcBorders>
          </w:tcPr>
          <w:p w:rsidRPr="00995633" w:rsidR="006C7493" w:rsidP="0032090A" w:rsidRDefault="006C7493" w14:paraId="210169FB" w14:textId="77777777">
            <w:pPr>
              <w:spacing w:line="276" w:lineRule="auto"/>
              <w:rPr>
                <w:sz w:val="20"/>
                <w:szCs w:val="20"/>
              </w:rPr>
            </w:pPr>
            <w:r>
              <w:rPr>
                <w:sz w:val="20"/>
                <w:szCs w:val="20"/>
              </w:rPr>
              <w:t>5,7%</w:t>
            </w:r>
          </w:p>
        </w:tc>
        <w:tc>
          <w:tcPr>
            <w:tcW w:w="3601" w:type="dxa"/>
            <w:tcBorders>
              <w:top w:val="dotted" w:color="auto" w:sz="4" w:space="0"/>
              <w:left w:val="dotted" w:color="auto" w:sz="4" w:space="0"/>
            </w:tcBorders>
          </w:tcPr>
          <w:p w:rsidRPr="00995633" w:rsidR="006C7493" w:rsidP="0032090A" w:rsidRDefault="006C7493" w14:paraId="4E4B96DA" w14:textId="77777777">
            <w:pPr>
              <w:spacing w:line="276" w:lineRule="auto"/>
              <w:rPr>
                <w:sz w:val="20"/>
                <w:szCs w:val="20"/>
              </w:rPr>
            </w:pPr>
            <w:r>
              <w:rPr>
                <w:sz w:val="20"/>
                <w:szCs w:val="20"/>
              </w:rPr>
              <w:t>5,7%</w:t>
            </w:r>
          </w:p>
        </w:tc>
      </w:tr>
      <w:tr w:rsidR="006C7493" w:rsidTr="0032090A" w14:paraId="4AA2F272" w14:textId="77777777">
        <w:trPr>
          <w:trHeight w:val="141"/>
        </w:trPr>
        <w:tc>
          <w:tcPr>
            <w:tcW w:w="1694" w:type="dxa"/>
            <w:vMerge w:val="restart"/>
          </w:tcPr>
          <w:p w:rsidRPr="00995633" w:rsidR="006C7493" w:rsidP="0032090A" w:rsidRDefault="006C7493" w14:paraId="6EE1F120" w14:textId="77777777">
            <w:pPr>
              <w:spacing w:line="276" w:lineRule="auto"/>
              <w:rPr>
                <w:sz w:val="20"/>
                <w:szCs w:val="20"/>
              </w:rPr>
            </w:pPr>
            <w:r w:rsidRPr="00995633">
              <w:rPr>
                <w:sz w:val="20"/>
                <w:szCs w:val="20"/>
              </w:rPr>
              <w:t>Litouwen</w:t>
            </w:r>
          </w:p>
        </w:tc>
        <w:tc>
          <w:tcPr>
            <w:tcW w:w="1027" w:type="dxa"/>
            <w:tcBorders>
              <w:bottom w:val="dotted" w:color="auto" w:sz="4" w:space="0"/>
            </w:tcBorders>
          </w:tcPr>
          <w:p w:rsidRPr="00995633" w:rsidR="006C7493" w:rsidP="0032090A" w:rsidRDefault="006C7493" w14:paraId="6CEC59B9"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423B0D36" w14:textId="77777777">
            <w:pPr>
              <w:spacing w:line="276" w:lineRule="auto"/>
              <w:rPr>
                <w:sz w:val="20"/>
                <w:szCs w:val="20"/>
              </w:rPr>
            </w:pPr>
            <w:r>
              <w:rPr>
                <w:sz w:val="20"/>
                <w:szCs w:val="20"/>
              </w:rPr>
              <w:t>-</w:t>
            </w:r>
          </w:p>
        </w:tc>
        <w:tc>
          <w:tcPr>
            <w:tcW w:w="3676" w:type="dxa"/>
            <w:tcBorders>
              <w:bottom w:val="dotted" w:color="auto" w:sz="4" w:space="0"/>
              <w:right w:val="dotted" w:color="auto" w:sz="4" w:space="0"/>
            </w:tcBorders>
          </w:tcPr>
          <w:p w:rsidRPr="00995633" w:rsidR="006C7493" w:rsidP="0032090A" w:rsidRDefault="006C7493" w14:paraId="6E76A5F5" w14:textId="77777777">
            <w:pPr>
              <w:spacing w:line="276" w:lineRule="auto"/>
              <w:rPr>
                <w:sz w:val="20"/>
                <w:szCs w:val="20"/>
              </w:rPr>
            </w:pPr>
            <w:r>
              <w:rPr>
                <w:sz w:val="20"/>
                <w:szCs w:val="20"/>
              </w:rPr>
              <w:t>10,5%</w:t>
            </w:r>
          </w:p>
        </w:tc>
        <w:tc>
          <w:tcPr>
            <w:tcW w:w="3601" w:type="dxa"/>
            <w:tcBorders>
              <w:left w:val="dotted" w:color="auto" w:sz="4" w:space="0"/>
              <w:bottom w:val="dotted" w:color="auto" w:sz="4" w:space="0"/>
            </w:tcBorders>
          </w:tcPr>
          <w:p w:rsidRPr="00995633" w:rsidR="006C7493" w:rsidP="0032090A" w:rsidRDefault="006C7493" w14:paraId="58C9A3EF" w14:textId="77777777">
            <w:pPr>
              <w:spacing w:line="276" w:lineRule="auto"/>
              <w:rPr>
                <w:sz w:val="20"/>
                <w:szCs w:val="20"/>
              </w:rPr>
            </w:pPr>
            <w:r>
              <w:rPr>
                <w:sz w:val="20"/>
                <w:szCs w:val="20"/>
              </w:rPr>
              <w:t>10,7%</w:t>
            </w:r>
          </w:p>
        </w:tc>
      </w:tr>
      <w:tr w:rsidR="006C7493" w:rsidTr="0032090A" w14:paraId="348F5472" w14:textId="77777777">
        <w:trPr>
          <w:trHeight w:val="107"/>
        </w:trPr>
        <w:tc>
          <w:tcPr>
            <w:tcW w:w="1694" w:type="dxa"/>
            <w:vMerge/>
          </w:tcPr>
          <w:p w:rsidRPr="00995633" w:rsidR="006C7493" w:rsidP="0032090A" w:rsidRDefault="006C7493" w14:paraId="683BEB75"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5DC4E4DC"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658CA157" w14:textId="77777777">
            <w:pPr>
              <w:spacing w:line="276" w:lineRule="auto"/>
              <w:rPr>
                <w:sz w:val="20"/>
                <w:szCs w:val="20"/>
              </w:rPr>
            </w:pPr>
            <w:r>
              <w:rPr>
                <w:sz w:val="20"/>
                <w:szCs w:val="20"/>
              </w:rPr>
              <w:t>-</w:t>
            </w:r>
          </w:p>
        </w:tc>
        <w:tc>
          <w:tcPr>
            <w:tcW w:w="3676" w:type="dxa"/>
            <w:tcBorders>
              <w:top w:val="dotted" w:color="auto" w:sz="4" w:space="0"/>
              <w:right w:val="dotted" w:color="auto" w:sz="4" w:space="0"/>
            </w:tcBorders>
          </w:tcPr>
          <w:p w:rsidRPr="00995633" w:rsidR="006C7493" w:rsidP="0032090A" w:rsidRDefault="006C7493" w14:paraId="5F166324" w14:textId="77777777">
            <w:pPr>
              <w:spacing w:line="276" w:lineRule="auto"/>
              <w:rPr>
                <w:sz w:val="20"/>
                <w:szCs w:val="20"/>
              </w:rPr>
            </w:pPr>
            <w:r>
              <w:rPr>
                <w:sz w:val="20"/>
                <w:szCs w:val="20"/>
              </w:rPr>
              <w:t>9,9%</w:t>
            </w:r>
          </w:p>
        </w:tc>
        <w:tc>
          <w:tcPr>
            <w:tcW w:w="3601" w:type="dxa"/>
            <w:tcBorders>
              <w:top w:val="dotted" w:color="auto" w:sz="4" w:space="0"/>
              <w:left w:val="dotted" w:color="auto" w:sz="4" w:space="0"/>
            </w:tcBorders>
          </w:tcPr>
          <w:p w:rsidRPr="00995633" w:rsidR="006C7493" w:rsidP="0032090A" w:rsidRDefault="006C7493" w14:paraId="78E6426D" w14:textId="77777777">
            <w:pPr>
              <w:spacing w:line="276" w:lineRule="auto"/>
              <w:rPr>
                <w:sz w:val="20"/>
                <w:szCs w:val="20"/>
              </w:rPr>
            </w:pPr>
            <w:r>
              <w:rPr>
                <w:sz w:val="20"/>
                <w:szCs w:val="20"/>
              </w:rPr>
              <w:t>9,0%</w:t>
            </w:r>
          </w:p>
        </w:tc>
      </w:tr>
      <w:tr w:rsidR="006C7493" w:rsidTr="0032090A" w14:paraId="279BEF7E" w14:textId="77777777">
        <w:trPr>
          <w:trHeight w:val="118"/>
        </w:trPr>
        <w:tc>
          <w:tcPr>
            <w:tcW w:w="1694" w:type="dxa"/>
            <w:vMerge w:val="restart"/>
          </w:tcPr>
          <w:p w:rsidRPr="00995633" w:rsidR="006C7493" w:rsidP="0032090A" w:rsidRDefault="006C7493" w14:paraId="79A77533" w14:textId="77777777">
            <w:pPr>
              <w:spacing w:line="276" w:lineRule="auto"/>
              <w:rPr>
                <w:sz w:val="20"/>
                <w:szCs w:val="20"/>
              </w:rPr>
            </w:pPr>
            <w:r w:rsidRPr="00995633">
              <w:rPr>
                <w:sz w:val="20"/>
                <w:szCs w:val="20"/>
              </w:rPr>
              <w:t>Luxemburg</w:t>
            </w:r>
          </w:p>
        </w:tc>
        <w:tc>
          <w:tcPr>
            <w:tcW w:w="1027" w:type="dxa"/>
            <w:tcBorders>
              <w:bottom w:val="dotted" w:color="auto" w:sz="4" w:space="0"/>
            </w:tcBorders>
          </w:tcPr>
          <w:p w:rsidRPr="00995633" w:rsidR="006C7493" w:rsidP="0032090A" w:rsidRDefault="006C7493" w14:paraId="284812ED"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700AC910" w14:textId="77777777">
            <w:pPr>
              <w:spacing w:line="276" w:lineRule="auto"/>
              <w:rPr>
                <w:sz w:val="20"/>
                <w:szCs w:val="20"/>
              </w:rPr>
            </w:pPr>
            <w:r>
              <w:rPr>
                <w:sz w:val="20"/>
                <w:szCs w:val="20"/>
              </w:rPr>
              <w:t>8,0%</w:t>
            </w:r>
          </w:p>
        </w:tc>
        <w:tc>
          <w:tcPr>
            <w:tcW w:w="3676" w:type="dxa"/>
            <w:tcBorders>
              <w:bottom w:val="dotted" w:color="auto" w:sz="4" w:space="0"/>
              <w:right w:val="dotted" w:color="auto" w:sz="4" w:space="0"/>
            </w:tcBorders>
          </w:tcPr>
          <w:p w:rsidRPr="00995633" w:rsidR="006C7493" w:rsidP="0032090A" w:rsidRDefault="006C7493" w14:paraId="68D06924" w14:textId="77777777">
            <w:pPr>
              <w:spacing w:line="276" w:lineRule="auto"/>
              <w:rPr>
                <w:sz w:val="20"/>
                <w:szCs w:val="20"/>
              </w:rPr>
            </w:pPr>
            <w:r>
              <w:rPr>
                <w:sz w:val="20"/>
                <w:szCs w:val="20"/>
              </w:rPr>
              <w:t>6,7%</w:t>
            </w:r>
          </w:p>
        </w:tc>
        <w:tc>
          <w:tcPr>
            <w:tcW w:w="3601" w:type="dxa"/>
            <w:tcBorders>
              <w:left w:val="dotted" w:color="auto" w:sz="4" w:space="0"/>
              <w:bottom w:val="dotted" w:color="auto" w:sz="4" w:space="0"/>
            </w:tcBorders>
          </w:tcPr>
          <w:p w:rsidRPr="00995633" w:rsidR="006C7493" w:rsidP="0032090A" w:rsidRDefault="006C7493" w14:paraId="1E5E6D83" w14:textId="77777777">
            <w:pPr>
              <w:spacing w:line="276" w:lineRule="auto"/>
              <w:rPr>
                <w:sz w:val="20"/>
                <w:szCs w:val="20"/>
              </w:rPr>
            </w:pPr>
            <w:r>
              <w:rPr>
                <w:sz w:val="20"/>
                <w:szCs w:val="20"/>
              </w:rPr>
              <w:t>6,2%</w:t>
            </w:r>
          </w:p>
        </w:tc>
      </w:tr>
      <w:tr w:rsidR="006C7493" w:rsidTr="0032090A" w14:paraId="18DA5AD8" w14:textId="77777777">
        <w:trPr>
          <w:trHeight w:val="129"/>
        </w:trPr>
        <w:tc>
          <w:tcPr>
            <w:tcW w:w="1694" w:type="dxa"/>
            <w:vMerge/>
          </w:tcPr>
          <w:p w:rsidRPr="00995633" w:rsidR="006C7493" w:rsidP="0032090A" w:rsidRDefault="006C7493" w14:paraId="243F7164"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30EDE125"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30E31DC9" w14:textId="77777777">
            <w:pPr>
              <w:spacing w:line="276" w:lineRule="auto"/>
              <w:rPr>
                <w:sz w:val="20"/>
                <w:szCs w:val="20"/>
              </w:rPr>
            </w:pPr>
            <w:r>
              <w:rPr>
                <w:sz w:val="20"/>
                <w:szCs w:val="20"/>
              </w:rPr>
              <w:t>5,8%</w:t>
            </w:r>
          </w:p>
        </w:tc>
        <w:tc>
          <w:tcPr>
            <w:tcW w:w="3676" w:type="dxa"/>
            <w:tcBorders>
              <w:top w:val="dotted" w:color="auto" w:sz="4" w:space="0"/>
              <w:right w:val="dotted" w:color="auto" w:sz="4" w:space="0"/>
            </w:tcBorders>
          </w:tcPr>
          <w:p w:rsidRPr="00995633" w:rsidR="006C7493" w:rsidP="0032090A" w:rsidRDefault="006C7493" w14:paraId="13FA7D97" w14:textId="77777777">
            <w:pPr>
              <w:spacing w:line="276" w:lineRule="auto"/>
              <w:rPr>
                <w:sz w:val="20"/>
                <w:szCs w:val="20"/>
              </w:rPr>
            </w:pPr>
            <w:r>
              <w:rPr>
                <w:sz w:val="20"/>
                <w:szCs w:val="20"/>
              </w:rPr>
              <w:t>7,1%</w:t>
            </w:r>
          </w:p>
        </w:tc>
        <w:tc>
          <w:tcPr>
            <w:tcW w:w="3601" w:type="dxa"/>
            <w:tcBorders>
              <w:top w:val="dotted" w:color="auto" w:sz="4" w:space="0"/>
              <w:left w:val="dotted" w:color="auto" w:sz="4" w:space="0"/>
            </w:tcBorders>
          </w:tcPr>
          <w:p w:rsidRPr="00995633" w:rsidR="006C7493" w:rsidP="0032090A" w:rsidRDefault="006C7493" w14:paraId="0BB0CDF8" w14:textId="77777777">
            <w:pPr>
              <w:spacing w:line="276" w:lineRule="auto"/>
              <w:rPr>
                <w:sz w:val="20"/>
                <w:szCs w:val="20"/>
              </w:rPr>
            </w:pPr>
            <w:r>
              <w:rPr>
                <w:sz w:val="20"/>
                <w:szCs w:val="20"/>
              </w:rPr>
              <w:t>6,8%</w:t>
            </w:r>
          </w:p>
        </w:tc>
      </w:tr>
      <w:tr w:rsidR="006C7493" w:rsidTr="0032090A" w14:paraId="38F4E54F" w14:textId="77777777">
        <w:trPr>
          <w:trHeight w:val="86"/>
        </w:trPr>
        <w:tc>
          <w:tcPr>
            <w:tcW w:w="1694" w:type="dxa"/>
            <w:vMerge w:val="restart"/>
          </w:tcPr>
          <w:p w:rsidRPr="00995633" w:rsidR="006C7493" w:rsidP="0032090A" w:rsidRDefault="006C7493" w14:paraId="0BDBC958" w14:textId="77777777">
            <w:pPr>
              <w:spacing w:line="276" w:lineRule="auto"/>
              <w:rPr>
                <w:sz w:val="20"/>
                <w:szCs w:val="20"/>
              </w:rPr>
            </w:pPr>
            <w:r w:rsidRPr="00995633">
              <w:rPr>
                <w:sz w:val="20"/>
                <w:szCs w:val="20"/>
              </w:rPr>
              <w:t>Malta</w:t>
            </w:r>
          </w:p>
        </w:tc>
        <w:tc>
          <w:tcPr>
            <w:tcW w:w="1027" w:type="dxa"/>
            <w:tcBorders>
              <w:bottom w:val="dotted" w:color="auto" w:sz="4" w:space="0"/>
            </w:tcBorders>
          </w:tcPr>
          <w:p w:rsidRPr="00995633" w:rsidR="006C7493" w:rsidP="0032090A" w:rsidRDefault="006C7493" w14:paraId="09C7E347"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5466D802" w14:textId="77777777">
            <w:pPr>
              <w:spacing w:line="276" w:lineRule="auto"/>
              <w:rPr>
                <w:sz w:val="20"/>
                <w:szCs w:val="20"/>
              </w:rPr>
            </w:pPr>
            <w:r>
              <w:rPr>
                <w:sz w:val="20"/>
                <w:szCs w:val="20"/>
              </w:rPr>
              <w:t>7,4%</w:t>
            </w:r>
          </w:p>
        </w:tc>
        <w:tc>
          <w:tcPr>
            <w:tcW w:w="3676" w:type="dxa"/>
            <w:tcBorders>
              <w:bottom w:val="dotted" w:color="auto" w:sz="4" w:space="0"/>
              <w:right w:val="dotted" w:color="auto" w:sz="4" w:space="0"/>
            </w:tcBorders>
          </w:tcPr>
          <w:p w:rsidRPr="00995633" w:rsidR="006C7493" w:rsidP="0032090A" w:rsidRDefault="006C7493" w14:paraId="0879ADEE" w14:textId="77777777">
            <w:pPr>
              <w:spacing w:line="276" w:lineRule="auto"/>
              <w:rPr>
                <w:sz w:val="20"/>
                <w:szCs w:val="20"/>
              </w:rPr>
            </w:pPr>
            <w:r>
              <w:rPr>
                <w:sz w:val="20"/>
                <w:szCs w:val="20"/>
              </w:rPr>
              <w:t>14,3%</w:t>
            </w:r>
          </w:p>
        </w:tc>
        <w:tc>
          <w:tcPr>
            <w:tcW w:w="3601" w:type="dxa"/>
            <w:tcBorders>
              <w:left w:val="dotted" w:color="auto" w:sz="4" w:space="0"/>
              <w:bottom w:val="dotted" w:color="auto" w:sz="4" w:space="0"/>
            </w:tcBorders>
          </w:tcPr>
          <w:p w:rsidRPr="00995633" w:rsidR="006C7493" w:rsidP="0032090A" w:rsidRDefault="006C7493" w14:paraId="3F1237D6" w14:textId="77777777">
            <w:pPr>
              <w:spacing w:line="276" w:lineRule="auto"/>
              <w:rPr>
                <w:sz w:val="20"/>
                <w:szCs w:val="20"/>
              </w:rPr>
            </w:pPr>
            <w:r>
              <w:rPr>
                <w:sz w:val="20"/>
                <w:szCs w:val="20"/>
              </w:rPr>
              <w:t>13,9%</w:t>
            </w:r>
          </w:p>
        </w:tc>
      </w:tr>
      <w:tr w:rsidR="006C7493" w:rsidTr="0032090A" w14:paraId="00654411" w14:textId="77777777">
        <w:trPr>
          <w:trHeight w:val="162"/>
        </w:trPr>
        <w:tc>
          <w:tcPr>
            <w:tcW w:w="1694" w:type="dxa"/>
            <w:vMerge/>
          </w:tcPr>
          <w:p w:rsidRPr="00995633" w:rsidR="006C7493" w:rsidP="0032090A" w:rsidRDefault="006C7493" w14:paraId="260DD600"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7BD790B8"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17D7D111" w14:textId="77777777">
            <w:pPr>
              <w:spacing w:line="276" w:lineRule="auto"/>
              <w:rPr>
                <w:sz w:val="20"/>
                <w:szCs w:val="20"/>
              </w:rPr>
            </w:pPr>
            <w:r>
              <w:rPr>
                <w:sz w:val="20"/>
                <w:szCs w:val="20"/>
              </w:rPr>
              <w:t>6,0%</w:t>
            </w:r>
          </w:p>
        </w:tc>
        <w:tc>
          <w:tcPr>
            <w:tcW w:w="3676" w:type="dxa"/>
            <w:tcBorders>
              <w:top w:val="dotted" w:color="auto" w:sz="4" w:space="0"/>
              <w:right w:val="dotted" w:color="auto" w:sz="4" w:space="0"/>
            </w:tcBorders>
          </w:tcPr>
          <w:p w:rsidRPr="00995633" w:rsidR="006C7493" w:rsidP="0032090A" w:rsidRDefault="006C7493" w14:paraId="4D7C3425" w14:textId="77777777">
            <w:pPr>
              <w:spacing w:line="276" w:lineRule="auto"/>
              <w:rPr>
                <w:sz w:val="20"/>
                <w:szCs w:val="20"/>
              </w:rPr>
            </w:pPr>
            <w:r>
              <w:rPr>
                <w:sz w:val="20"/>
                <w:szCs w:val="20"/>
              </w:rPr>
              <w:t>-0,1%</w:t>
            </w:r>
          </w:p>
        </w:tc>
        <w:tc>
          <w:tcPr>
            <w:tcW w:w="3601" w:type="dxa"/>
            <w:tcBorders>
              <w:top w:val="dotted" w:color="auto" w:sz="4" w:space="0"/>
              <w:left w:val="dotted" w:color="auto" w:sz="4" w:space="0"/>
            </w:tcBorders>
          </w:tcPr>
          <w:p w:rsidRPr="00995633" w:rsidR="006C7493" w:rsidP="0032090A" w:rsidRDefault="006C7493" w14:paraId="30E94769" w14:textId="77777777">
            <w:pPr>
              <w:spacing w:line="276" w:lineRule="auto"/>
              <w:rPr>
                <w:sz w:val="20"/>
                <w:szCs w:val="20"/>
              </w:rPr>
            </w:pPr>
            <w:r>
              <w:rPr>
                <w:sz w:val="20"/>
                <w:szCs w:val="20"/>
              </w:rPr>
              <w:t>0,8%</w:t>
            </w:r>
          </w:p>
        </w:tc>
      </w:tr>
      <w:tr w:rsidR="006C7493" w:rsidTr="0032090A" w14:paraId="07F1801A" w14:textId="77777777">
        <w:trPr>
          <w:trHeight w:val="129"/>
        </w:trPr>
        <w:tc>
          <w:tcPr>
            <w:tcW w:w="1694" w:type="dxa"/>
            <w:vMerge w:val="restart"/>
          </w:tcPr>
          <w:p w:rsidRPr="00995633" w:rsidR="006C7493" w:rsidP="0032090A" w:rsidRDefault="006C7493" w14:paraId="47F0E723" w14:textId="77777777">
            <w:pPr>
              <w:spacing w:line="276" w:lineRule="auto"/>
              <w:rPr>
                <w:sz w:val="20"/>
                <w:szCs w:val="20"/>
              </w:rPr>
            </w:pPr>
            <w:r w:rsidRPr="00995633">
              <w:rPr>
                <w:sz w:val="20"/>
                <w:szCs w:val="20"/>
              </w:rPr>
              <w:t>Nederland</w:t>
            </w:r>
          </w:p>
        </w:tc>
        <w:tc>
          <w:tcPr>
            <w:tcW w:w="1027" w:type="dxa"/>
            <w:tcBorders>
              <w:bottom w:val="dotted" w:color="auto" w:sz="4" w:space="0"/>
            </w:tcBorders>
          </w:tcPr>
          <w:p w:rsidRPr="00995633" w:rsidR="006C7493" w:rsidP="0032090A" w:rsidRDefault="006C7493" w14:paraId="7FE014EF"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529020A4" w14:textId="77777777">
            <w:pPr>
              <w:spacing w:line="276" w:lineRule="auto"/>
              <w:rPr>
                <w:sz w:val="20"/>
                <w:szCs w:val="20"/>
              </w:rPr>
            </w:pPr>
            <w:r>
              <w:rPr>
                <w:sz w:val="20"/>
                <w:szCs w:val="20"/>
              </w:rPr>
              <w:t>6,6%</w:t>
            </w:r>
          </w:p>
        </w:tc>
        <w:tc>
          <w:tcPr>
            <w:tcW w:w="3676" w:type="dxa"/>
            <w:tcBorders>
              <w:bottom w:val="dotted" w:color="auto" w:sz="4" w:space="0"/>
              <w:right w:val="dotted" w:color="auto" w:sz="4" w:space="0"/>
            </w:tcBorders>
          </w:tcPr>
          <w:p w:rsidRPr="00995633" w:rsidR="006C7493" w:rsidP="0032090A" w:rsidRDefault="006C7493" w14:paraId="7E410B51" w14:textId="77777777">
            <w:pPr>
              <w:spacing w:line="276" w:lineRule="auto"/>
              <w:rPr>
                <w:sz w:val="20"/>
                <w:szCs w:val="20"/>
              </w:rPr>
            </w:pPr>
            <w:r>
              <w:rPr>
                <w:sz w:val="20"/>
                <w:szCs w:val="20"/>
              </w:rPr>
              <w:t>5,8%</w:t>
            </w:r>
          </w:p>
        </w:tc>
        <w:tc>
          <w:tcPr>
            <w:tcW w:w="3601" w:type="dxa"/>
            <w:tcBorders>
              <w:left w:val="dotted" w:color="auto" w:sz="4" w:space="0"/>
              <w:bottom w:val="dotted" w:color="auto" w:sz="4" w:space="0"/>
            </w:tcBorders>
          </w:tcPr>
          <w:p w:rsidRPr="00995633" w:rsidR="006C7493" w:rsidP="0032090A" w:rsidRDefault="006C7493" w14:paraId="205C172B" w14:textId="77777777">
            <w:pPr>
              <w:spacing w:line="276" w:lineRule="auto"/>
              <w:rPr>
                <w:sz w:val="20"/>
                <w:szCs w:val="20"/>
              </w:rPr>
            </w:pPr>
            <w:r>
              <w:rPr>
                <w:sz w:val="20"/>
                <w:szCs w:val="20"/>
              </w:rPr>
              <w:t>6,8%</w:t>
            </w:r>
          </w:p>
        </w:tc>
      </w:tr>
      <w:tr w:rsidR="006C7493" w:rsidTr="0032090A" w14:paraId="2379DAB0" w14:textId="77777777">
        <w:trPr>
          <w:trHeight w:val="118"/>
        </w:trPr>
        <w:tc>
          <w:tcPr>
            <w:tcW w:w="1694" w:type="dxa"/>
            <w:vMerge/>
          </w:tcPr>
          <w:p w:rsidRPr="00995633" w:rsidR="006C7493" w:rsidP="0032090A" w:rsidRDefault="006C7493" w14:paraId="56CC10C1"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6DAB9580"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6A934416" w14:textId="77777777">
            <w:pPr>
              <w:spacing w:line="276" w:lineRule="auto"/>
              <w:rPr>
                <w:sz w:val="20"/>
                <w:szCs w:val="20"/>
              </w:rPr>
            </w:pPr>
            <w:r>
              <w:rPr>
                <w:sz w:val="20"/>
                <w:szCs w:val="20"/>
              </w:rPr>
              <w:t>3,5%</w:t>
            </w:r>
          </w:p>
        </w:tc>
        <w:tc>
          <w:tcPr>
            <w:tcW w:w="3676" w:type="dxa"/>
            <w:tcBorders>
              <w:top w:val="dotted" w:color="auto" w:sz="4" w:space="0"/>
              <w:right w:val="dotted" w:color="auto" w:sz="4" w:space="0"/>
            </w:tcBorders>
          </w:tcPr>
          <w:p w:rsidRPr="00995633" w:rsidR="006C7493" w:rsidP="0032090A" w:rsidRDefault="006C7493" w14:paraId="2EA7F21C" w14:textId="77777777">
            <w:pPr>
              <w:spacing w:line="276" w:lineRule="auto"/>
              <w:rPr>
                <w:sz w:val="20"/>
                <w:szCs w:val="20"/>
              </w:rPr>
            </w:pPr>
            <w:r>
              <w:rPr>
                <w:sz w:val="20"/>
                <w:szCs w:val="20"/>
              </w:rPr>
              <w:t>8,9%</w:t>
            </w:r>
          </w:p>
        </w:tc>
        <w:tc>
          <w:tcPr>
            <w:tcW w:w="3601" w:type="dxa"/>
            <w:tcBorders>
              <w:top w:val="dotted" w:color="auto" w:sz="4" w:space="0"/>
              <w:left w:val="dotted" w:color="auto" w:sz="4" w:space="0"/>
            </w:tcBorders>
          </w:tcPr>
          <w:p w:rsidRPr="00995633" w:rsidR="006C7493" w:rsidP="0032090A" w:rsidRDefault="006C7493" w14:paraId="7BFFE825" w14:textId="77777777">
            <w:pPr>
              <w:spacing w:line="276" w:lineRule="auto"/>
              <w:rPr>
                <w:sz w:val="20"/>
                <w:szCs w:val="20"/>
              </w:rPr>
            </w:pPr>
            <w:r>
              <w:rPr>
                <w:sz w:val="20"/>
                <w:szCs w:val="20"/>
              </w:rPr>
              <w:t>7,0%</w:t>
            </w:r>
          </w:p>
        </w:tc>
      </w:tr>
      <w:tr w:rsidR="006C7493" w:rsidTr="0032090A" w14:paraId="096C94CA" w14:textId="77777777">
        <w:trPr>
          <w:trHeight w:val="97"/>
        </w:trPr>
        <w:tc>
          <w:tcPr>
            <w:tcW w:w="1694" w:type="dxa"/>
            <w:vMerge w:val="restart"/>
          </w:tcPr>
          <w:p w:rsidRPr="00995633" w:rsidR="006C7493" w:rsidP="0032090A" w:rsidRDefault="006C7493" w14:paraId="14C76689" w14:textId="77777777">
            <w:pPr>
              <w:spacing w:line="276" w:lineRule="auto"/>
              <w:rPr>
                <w:sz w:val="20"/>
                <w:szCs w:val="20"/>
              </w:rPr>
            </w:pPr>
            <w:r w:rsidRPr="00995633">
              <w:rPr>
                <w:sz w:val="20"/>
                <w:szCs w:val="20"/>
              </w:rPr>
              <w:t>Oostenrijk</w:t>
            </w:r>
          </w:p>
        </w:tc>
        <w:tc>
          <w:tcPr>
            <w:tcW w:w="1027" w:type="dxa"/>
            <w:tcBorders>
              <w:bottom w:val="dotted" w:color="auto" w:sz="4" w:space="0"/>
            </w:tcBorders>
          </w:tcPr>
          <w:p w:rsidRPr="00995633" w:rsidR="006C7493" w:rsidP="0032090A" w:rsidRDefault="006C7493" w14:paraId="40B54C05"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063222C7" w14:textId="77777777">
            <w:pPr>
              <w:spacing w:line="276" w:lineRule="auto"/>
              <w:rPr>
                <w:sz w:val="20"/>
                <w:szCs w:val="20"/>
              </w:rPr>
            </w:pPr>
            <w:r>
              <w:rPr>
                <w:sz w:val="20"/>
                <w:szCs w:val="20"/>
              </w:rPr>
              <w:t>-</w:t>
            </w:r>
          </w:p>
        </w:tc>
        <w:tc>
          <w:tcPr>
            <w:tcW w:w="3676" w:type="dxa"/>
            <w:tcBorders>
              <w:bottom w:val="dotted" w:color="auto" w:sz="4" w:space="0"/>
              <w:right w:val="dotted" w:color="auto" w:sz="4" w:space="0"/>
            </w:tcBorders>
          </w:tcPr>
          <w:p w:rsidRPr="00995633" w:rsidR="006C7493" w:rsidP="0032090A" w:rsidRDefault="006C7493" w14:paraId="4C6CE04B" w14:textId="77777777">
            <w:pPr>
              <w:spacing w:line="276" w:lineRule="auto"/>
              <w:rPr>
                <w:sz w:val="20"/>
                <w:szCs w:val="20"/>
              </w:rPr>
            </w:pPr>
            <w:r>
              <w:rPr>
                <w:sz w:val="20"/>
                <w:szCs w:val="20"/>
              </w:rPr>
              <w:t>8,6%</w:t>
            </w:r>
          </w:p>
        </w:tc>
        <w:tc>
          <w:tcPr>
            <w:tcW w:w="3601" w:type="dxa"/>
            <w:tcBorders>
              <w:left w:val="dotted" w:color="auto" w:sz="4" w:space="0"/>
              <w:bottom w:val="dotted" w:color="auto" w:sz="4" w:space="0"/>
            </w:tcBorders>
          </w:tcPr>
          <w:p w:rsidRPr="00995633" w:rsidR="006C7493" w:rsidP="0032090A" w:rsidRDefault="006C7493" w14:paraId="07E57956" w14:textId="77777777">
            <w:pPr>
              <w:spacing w:line="276" w:lineRule="auto"/>
              <w:rPr>
                <w:sz w:val="20"/>
                <w:szCs w:val="20"/>
              </w:rPr>
            </w:pPr>
            <w:r>
              <w:rPr>
                <w:sz w:val="20"/>
                <w:szCs w:val="20"/>
              </w:rPr>
              <w:t>8,7%</w:t>
            </w:r>
          </w:p>
        </w:tc>
      </w:tr>
      <w:tr w:rsidR="006C7493" w:rsidTr="0032090A" w14:paraId="2C58FFE8" w14:textId="77777777">
        <w:trPr>
          <w:trHeight w:val="97"/>
        </w:trPr>
        <w:tc>
          <w:tcPr>
            <w:tcW w:w="1694" w:type="dxa"/>
            <w:vMerge/>
          </w:tcPr>
          <w:p w:rsidRPr="00995633" w:rsidR="006C7493" w:rsidP="0032090A" w:rsidRDefault="006C7493" w14:paraId="2594B3DE" w14:textId="77777777">
            <w:pPr>
              <w:spacing w:line="276" w:lineRule="auto"/>
              <w:rPr>
                <w:sz w:val="20"/>
                <w:szCs w:val="20"/>
              </w:rPr>
            </w:pPr>
          </w:p>
        </w:tc>
        <w:tc>
          <w:tcPr>
            <w:tcW w:w="1027" w:type="dxa"/>
            <w:tcBorders>
              <w:top w:val="dotted" w:color="auto" w:sz="4" w:space="0"/>
              <w:bottom w:val="dotted" w:color="auto" w:sz="4" w:space="0"/>
            </w:tcBorders>
          </w:tcPr>
          <w:p w:rsidRPr="00995633" w:rsidR="006C7493" w:rsidP="0032090A" w:rsidRDefault="006C7493" w14:paraId="54C5251D" w14:textId="77777777">
            <w:pPr>
              <w:spacing w:line="276" w:lineRule="auto"/>
              <w:rPr>
                <w:i/>
                <w:iCs/>
                <w:sz w:val="20"/>
                <w:szCs w:val="20"/>
              </w:rPr>
            </w:pPr>
            <w:r w:rsidRPr="00995633">
              <w:rPr>
                <w:i/>
                <w:iCs/>
                <w:sz w:val="20"/>
                <w:szCs w:val="20"/>
              </w:rPr>
              <w:t>2025</w:t>
            </w:r>
          </w:p>
        </w:tc>
        <w:tc>
          <w:tcPr>
            <w:tcW w:w="3532" w:type="dxa"/>
            <w:tcBorders>
              <w:top w:val="dotted" w:color="auto" w:sz="4" w:space="0"/>
              <w:bottom w:val="dotted" w:color="auto" w:sz="4" w:space="0"/>
            </w:tcBorders>
          </w:tcPr>
          <w:p w:rsidRPr="00995633" w:rsidR="006C7493" w:rsidP="0032090A" w:rsidRDefault="006C7493" w14:paraId="2A2D9EBB" w14:textId="77777777">
            <w:pPr>
              <w:spacing w:line="276" w:lineRule="auto"/>
              <w:rPr>
                <w:sz w:val="20"/>
                <w:szCs w:val="20"/>
              </w:rPr>
            </w:pPr>
            <w:r>
              <w:rPr>
                <w:sz w:val="20"/>
                <w:szCs w:val="20"/>
              </w:rPr>
              <w:t>2,6%</w:t>
            </w:r>
          </w:p>
        </w:tc>
        <w:tc>
          <w:tcPr>
            <w:tcW w:w="3676" w:type="dxa"/>
            <w:tcBorders>
              <w:top w:val="dotted" w:color="auto" w:sz="4" w:space="0"/>
              <w:bottom w:val="dotted" w:color="auto" w:sz="4" w:space="0"/>
              <w:right w:val="dotted" w:color="auto" w:sz="4" w:space="0"/>
            </w:tcBorders>
          </w:tcPr>
          <w:p w:rsidRPr="00995633" w:rsidR="006C7493" w:rsidP="0032090A" w:rsidRDefault="006C7493" w14:paraId="332F3391" w14:textId="77777777">
            <w:pPr>
              <w:spacing w:line="276" w:lineRule="auto"/>
              <w:rPr>
                <w:sz w:val="20"/>
                <w:szCs w:val="20"/>
              </w:rPr>
            </w:pPr>
            <w:r>
              <w:rPr>
                <w:sz w:val="20"/>
                <w:szCs w:val="20"/>
              </w:rPr>
              <w:t>1,6%</w:t>
            </w:r>
          </w:p>
        </w:tc>
        <w:tc>
          <w:tcPr>
            <w:tcW w:w="3601" w:type="dxa"/>
            <w:tcBorders>
              <w:top w:val="dotted" w:color="auto" w:sz="4" w:space="0"/>
              <w:left w:val="dotted" w:color="auto" w:sz="4" w:space="0"/>
              <w:bottom w:val="dotted" w:color="auto" w:sz="4" w:space="0"/>
            </w:tcBorders>
          </w:tcPr>
          <w:p w:rsidRPr="00995633" w:rsidR="006C7493" w:rsidP="0032090A" w:rsidRDefault="006C7493" w14:paraId="34DA0E07" w14:textId="77777777">
            <w:pPr>
              <w:spacing w:line="276" w:lineRule="auto"/>
              <w:rPr>
                <w:sz w:val="20"/>
                <w:szCs w:val="20"/>
              </w:rPr>
            </w:pPr>
            <w:r>
              <w:rPr>
                <w:sz w:val="20"/>
                <w:szCs w:val="20"/>
              </w:rPr>
              <w:t>2,0%</w:t>
            </w:r>
          </w:p>
        </w:tc>
      </w:tr>
      <w:tr w:rsidR="006C7493" w:rsidTr="0032090A" w14:paraId="1D5254D2" w14:textId="77777777">
        <w:trPr>
          <w:trHeight w:val="97"/>
        </w:trPr>
        <w:tc>
          <w:tcPr>
            <w:tcW w:w="1694" w:type="dxa"/>
            <w:vMerge w:val="restart"/>
          </w:tcPr>
          <w:p w:rsidRPr="00995633" w:rsidR="006C7493" w:rsidP="0032090A" w:rsidRDefault="006C7493" w14:paraId="6D5E2731" w14:textId="77777777">
            <w:pPr>
              <w:spacing w:line="276" w:lineRule="auto"/>
              <w:rPr>
                <w:sz w:val="20"/>
                <w:szCs w:val="20"/>
              </w:rPr>
            </w:pPr>
            <w:r w:rsidRPr="00995633">
              <w:rPr>
                <w:sz w:val="20"/>
                <w:szCs w:val="20"/>
              </w:rPr>
              <w:t>Polen</w:t>
            </w:r>
          </w:p>
        </w:tc>
        <w:tc>
          <w:tcPr>
            <w:tcW w:w="1027" w:type="dxa"/>
            <w:tcBorders>
              <w:bottom w:val="dotted" w:color="auto" w:sz="4" w:space="0"/>
            </w:tcBorders>
          </w:tcPr>
          <w:p w:rsidRPr="00995633" w:rsidR="006C7493" w:rsidP="0032090A" w:rsidRDefault="006C7493" w14:paraId="501280AE"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70DF730B" w14:textId="77777777">
            <w:pPr>
              <w:spacing w:line="276" w:lineRule="auto"/>
              <w:rPr>
                <w:sz w:val="20"/>
                <w:szCs w:val="20"/>
              </w:rPr>
            </w:pPr>
            <w:r>
              <w:rPr>
                <w:sz w:val="20"/>
                <w:szCs w:val="20"/>
              </w:rPr>
              <w:t>12,5%</w:t>
            </w:r>
          </w:p>
        </w:tc>
        <w:tc>
          <w:tcPr>
            <w:tcW w:w="3676" w:type="dxa"/>
            <w:tcBorders>
              <w:bottom w:val="dotted" w:color="auto" w:sz="4" w:space="0"/>
              <w:right w:val="dotted" w:color="auto" w:sz="4" w:space="0"/>
            </w:tcBorders>
          </w:tcPr>
          <w:p w:rsidRPr="00995633" w:rsidR="006C7493" w:rsidP="0032090A" w:rsidRDefault="006C7493" w14:paraId="474D530C" w14:textId="77777777">
            <w:pPr>
              <w:spacing w:line="276" w:lineRule="auto"/>
              <w:rPr>
                <w:sz w:val="20"/>
                <w:szCs w:val="20"/>
              </w:rPr>
            </w:pPr>
            <w:r>
              <w:rPr>
                <w:sz w:val="20"/>
                <w:szCs w:val="20"/>
              </w:rPr>
              <w:t>12,7%</w:t>
            </w:r>
          </w:p>
        </w:tc>
        <w:tc>
          <w:tcPr>
            <w:tcW w:w="3601" w:type="dxa"/>
            <w:tcBorders>
              <w:left w:val="dotted" w:color="auto" w:sz="4" w:space="0"/>
              <w:bottom w:val="dotted" w:color="auto" w:sz="4" w:space="0"/>
            </w:tcBorders>
          </w:tcPr>
          <w:p w:rsidRPr="00995633" w:rsidR="006C7493" w:rsidP="0032090A" w:rsidRDefault="006C7493" w14:paraId="7C77DC7B" w14:textId="77777777">
            <w:pPr>
              <w:spacing w:line="276" w:lineRule="auto"/>
              <w:rPr>
                <w:sz w:val="20"/>
                <w:szCs w:val="20"/>
              </w:rPr>
            </w:pPr>
            <w:r>
              <w:rPr>
                <w:sz w:val="20"/>
                <w:szCs w:val="20"/>
              </w:rPr>
              <w:t>12,7%</w:t>
            </w:r>
          </w:p>
        </w:tc>
      </w:tr>
      <w:tr w:rsidR="006C7493" w:rsidTr="0032090A" w14:paraId="37EC2A6B" w14:textId="77777777">
        <w:trPr>
          <w:trHeight w:val="97"/>
        </w:trPr>
        <w:tc>
          <w:tcPr>
            <w:tcW w:w="1694" w:type="dxa"/>
            <w:vMerge/>
          </w:tcPr>
          <w:p w:rsidRPr="00995633" w:rsidR="006C7493" w:rsidP="0032090A" w:rsidRDefault="006C7493" w14:paraId="7A8CB2C2" w14:textId="77777777">
            <w:pPr>
              <w:spacing w:line="276" w:lineRule="auto"/>
              <w:rPr>
                <w:sz w:val="20"/>
                <w:szCs w:val="20"/>
              </w:rPr>
            </w:pPr>
          </w:p>
        </w:tc>
        <w:tc>
          <w:tcPr>
            <w:tcW w:w="1027" w:type="dxa"/>
            <w:tcBorders>
              <w:top w:val="dotted" w:color="auto" w:sz="4" w:space="0"/>
              <w:bottom w:val="dotted" w:color="auto" w:sz="4" w:space="0"/>
            </w:tcBorders>
          </w:tcPr>
          <w:p w:rsidRPr="00995633" w:rsidR="006C7493" w:rsidP="0032090A" w:rsidRDefault="006C7493" w14:paraId="02B2BEB5" w14:textId="77777777">
            <w:pPr>
              <w:spacing w:line="276" w:lineRule="auto"/>
              <w:rPr>
                <w:i/>
                <w:iCs/>
                <w:sz w:val="20"/>
                <w:szCs w:val="20"/>
              </w:rPr>
            </w:pPr>
            <w:r w:rsidRPr="00995633">
              <w:rPr>
                <w:i/>
                <w:iCs/>
                <w:sz w:val="20"/>
                <w:szCs w:val="20"/>
              </w:rPr>
              <w:t>2025</w:t>
            </w:r>
          </w:p>
        </w:tc>
        <w:tc>
          <w:tcPr>
            <w:tcW w:w="3532" w:type="dxa"/>
            <w:tcBorders>
              <w:top w:val="dotted" w:color="auto" w:sz="4" w:space="0"/>
              <w:bottom w:val="dotted" w:color="auto" w:sz="4" w:space="0"/>
            </w:tcBorders>
          </w:tcPr>
          <w:p w:rsidRPr="00995633" w:rsidR="006C7493" w:rsidP="0032090A" w:rsidRDefault="006C7493" w14:paraId="1E4ACD8B" w14:textId="77777777">
            <w:pPr>
              <w:spacing w:line="276" w:lineRule="auto"/>
              <w:rPr>
                <w:sz w:val="20"/>
                <w:szCs w:val="20"/>
              </w:rPr>
            </w:pPr>
            <w:r>
              <w:rPr>
                <w:sz w:val="20"/>
                <w:szCs w:val="20"/>
              </w:rPr>
              <w:t>6,3%</w:t>
            </w:r>
          </w:p>
        </w:tc>
        <w:tc>
          <w:tcPr>
            <w:tcW w:w="3676" w:type="dxa"/>
            <w:tcBorders>
              <w:top w:val="dotted" w:color="auto" w:sz="4" w:space="0"/>
              <w:bottom w:val="dotted" w:color="auto" w:sz="4" w:space="0"/>
              <w:right w:val="dotted" w:color="auto" w:sz="4" w:space="0"/>
            </w:tcBorders>
          </w:tcPr>
          <w:p w:rsidRPr="00995633" w:rsidR="006C7493" w:rsidP="0032090A" w:rsidRDefault="006C7493" w14:paraId="36BC1249" w14:textId="77777777">
            <w:pPr>
              <w:spacing w:line="276" w:lineRule="auto"/>
              <w:rPr>
                <w:sz w:val="20"/>
                <w:szCs w:val="20"/>
              </w:rPr>
            </w:pPr>
            <w:r>
              <w:rPr>
                <w:sz w:val="20"/>
                <w:szCs w:val="20"/>
              </w:rPr>
              <w:t>5,8%</w:t>
            </w:r>
          </w:p>
        </w:tc>
        <w:tc>
          <w:tcPr>
            <w:tcW w:w="3601" w:type="dxa"/>
            <w:tcBorders>
              <w:top w:val="dotted" w:color="auto" w:sz="4" w:space="0"/>
              <w:left w:val="dotted" w:color="auto" w:sz="4" w:space="0"/>
              <w:bottom w:val="dotted" w:color="auto" w:sz="4" w:space="0"/>
            </w:tcBorders>
          </w:tcPr>
          <w:p w:rsidRPr="00995633" w:rsidR="006C7493" w:rsidP="0032090A" w:rsidRDefault="006C7493" w14:paraId="68163B41" w14:textId="77777777">
            <w:pPr>
              <w:spacing w:line="276" w:lineRule="auto"/>
              <w:rPr>
                <w:sz w:val="20"/>
                <w:szCs w:val="20"/>
              </w:rPr>
            </w:pPr>
            <w:r>
              <w:rPr>
                <w:sz w:val="20"/>
                <w:szCs w:val="20"/>
              </w:rPr>
              <w:t>6,2%</w:t>
            </w:r>
          </w:p>
        </w:tc>
      </w:tr>
      <w:tr w:rsidR="006C7493" w:rsidTr="0032090A" w14:paraId="7B9683EA" w14:textId="77777777">
        <w:trPr>
          <w:trHeight w:val="97"/>
        </w:trPr>
        <w:tc>
          <w:tcPr>
            <w:tcW w:w="1694" w:type="dxa"/>
            <w:vMerge w:val="restart"/>
          </w:tcPr>
          <w:p w:rsidRPr="00995633" w:rsidR="006C7493" w:rsidP="0032090A" w:rsidRDefault="006C7493" w14:paraId="7A2423BC" w14:textId="77777777">
            <w:pPr>
              <w:spacing w:line="276" w:lineRule="auto"/>
              <w:rPr>
                <w:sz w:val="20"/>
                <w:szCs w:val="20"/>
              </w:rPr>
            </w:pPr>
            <w:r w:rsidRPr="00995633">
              <w:rPr>
                <w:sz w:val="20"/>
                <w:szCs w:val="20"/>
              </w:rPr>
              <w:t>Portugal</w:t>
            </w:r>
          </w:p>
        </w:tc>
        <w:tc>
          <w:tcPr>
            <w:tcW w:w="1027" w:type="dxa"/>
            <w:tcBorders>
              <w:bottom w:val="dotted" w:color="auto" w:sz="4" w:space="0"/>
            </w:tcBorders>
          </w:tcPr>
          <w:p w:rsidRPr="00995633" w:rsidR="006C7493" w:rsidP="0032090A" w:rsidRDefault="006C7493" w14:paraId="577BCD78"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43865D45" w14:textId="77777777">
            <w:pPr>
              <w:spacing w:line="276" w:lineRule="auto"/>
              <w:rPr>
                <w:sz w:val="20"/>
                <w:szCs w:val="20"/>
              </w:rPr>
            </w:pPr>
            <w:r>
              <w:rPr>
                <w:sz w:val="20"/>
                <w:szCs w:val="20"/>
              </w:rPr>
              <w:t>11,8%</w:t>
            </w:r>
          </w:p>
        </w:tc>
        <w:tc>
          <w:tcPr>
            <w:tcW w:w="3676" w:type="dxa"/>
            <w:tcBorders>
              <w:bottom w:val="dotted" w:color="auto" w:sz="4" w:space="0"/>
              <w:right w:val="dotted" w:color="auto" w:sz="4" w:space="0"/>
            </w:tcBorders>
          </w:tcPr>
          <w:p w:rsidRPr="00995633" w:rsidR="006C7493" w:rsidP="0032090A" w:rsidRDefault="006C7493" w14:paraId="14B4F064" w14:textId="77777777">
            <w:pPr>
              <w:spacing w:line="276" w:lineRule="auto"/>
              <w:rPr>
                <w:sz w:val="20"/>
                <w:szCs w:val="20"/>
              </w:rPr>
            </w:pPr>
            <w:r>
              <w:rPr>
                <w:sz w:val="20"/>
                <w:szCs w:val="20"/>
              </w:rPr>
              <w:t>11,6%</w:t>
            </w:r>
          </w:p>
        </w:tc>
        <w:tc>
          <w:tcPr>
            <w:tcW w:w="3601" w:type="dxa"/>
            <w:tcBorders>
              <w:left w:val="dotted" w:color="auto" w:sz="4" w:space="0"/>
              <w:bottom w:val="dotted" w:color="auto" w:sz="4" w:space="0"/>
            </w:tcBorders>
          </w:tcPr>
          <w:p w:rsidRPr="00995633" w:rsidR="006C7493" w:rsidP="0032090A" w:rsidRDefault="006C7493" w14:paraId="7C76FB60" w14:textId="77777777">
            <w:pPr>
              <w:spacing w:line="276" w:lineRule="auto"/>
              <w:rPr>
                <w:sz w:val="20"/>
                <w:szCs w:val="20"/>
              </w:rPr>
            </w:pPr>
            <w:r>
              <w:rPr>
                <w:sz w:val="20"/>
                <w:szCs w:val="20"/>
              </w:rPr>
              <w:t>12,0%</w:t>
            </w:r>
          </w:p>
        </w:tc>
      </w:tr>
      <w:tr w:rsidR="006C7493" w:rsidTr="0032090A" w14:paraId="7E43DFF7" w14:textId="77777777">
        <w:trPr>
          <w:trHeight w:val="152"/>
        </w:trPr>
        <w:tc>
          <w:tcPr>
            <w:tcW w:w="1694" w:type="dxa"/>
            <w:vMerge/>
          </w:tcPr>
          <w:p w:rsidRPr="00995633" w:rsidR="006C7493" w:rsidP="0032090A" w:rsidRDefault="006C7493" w14:paraId="584F9387"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7FDB950E"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25F23352" w14:textId="77777777">
            <w:pPr>
              <w:spacing w:line="276" w:lineRule="auto"/>
              <w:rPr>
                <w:sz w:val="20"/>
                <w:szCs w:val="20"/>
              </w:rPr>
            </w:pPr>
            <w:r>
              <w:rPr>
                <w:sz w:val="20"/>
                <w:szCs w:val="20"/>
              </w:rPr>
              <w:t>5,0%</w:t>
            </w:r>
          </w:p>
        </w:tc>
        <w:tc>
          <w:tcPr>
            <w:tcW w:w="3676" w:type="dxa"/>
            <w:tcBorders>
              <w:top w:val="dotted" w:color="auto" w:sz="4" w:space="0"/>
              <w:right w:val="dotted" w:color="auto" w:sz="4" w:space="0"/>
            </w:tcBorders>
          </w:tcPr>
          <w:p w:rsidRPr="00995633" w:rsidR="006C7493" w:rsidP="0032090A" w:rsidRDefault="006C7493" w14:paraId="57A7A6BB" w14:textId="77777777">
            <w:pPr>
              <w:spacing w:line="276" w:lineRule="auto"/>
              <w:rPr>
                <w:sz w:val="20"/>
                <w:szCs w:val="20"/>
              </w:rPr>
            </w:pPr>
            <w:r>
              <w:rPr>
                <w:sz w:val="20"/>
                <w:szCs w:val="20"/>
              </w:rPr>
              <w:t>3,4%</w:t>
            </w:r>
          </w:p>
        </w:tc>
        <w:tc>
          <w:tcPr>
            <w:tcW w:w="3601" w:type="dxa"/>
            <w:tcBorders>
              <w:top w:val="dotted" w:color="auto" w:sz="4" w:space="0"/>
              <w:left w:val="dotted" w:color="auto" w:sz="4" w:space="0"/>
            </w:tcBorders>
          </w:tcPr>
          <w:p w:rsidRPr="00995633" w:rsidR="006C7493" w:rsidP="0032090A" w:rsidRDefault="006C7493" w14:paraId="55B43AE2" w14:textId="77777777">
            <w:pPr>
              <w:spacing w:line="276" w:lineRule="auto"/>
              <w:rPr>
                <w:sz w:val="20"/>
                <w:szCs w:val="20"/>
              </w:rPr>
            </w:pPr>
            <w:r>
              <w:rPr>
                <w:sz w:val="20"/>
                <w:szCs w:val="20"/>
              </w:rPr>
              <w:t>6,1%</w:t>
            </w:r>
          </w:p>
        </w:tc>
      </w:tr>
      <w:tr w:rsidR="006C7493" w:rsidTr="0032090A" w14:paraId="648F3E30" w14:textId="77777777">
        <w:trPr>
          <w:trHeight w:val="162"/>
        </w:trPr>
        <w:tc>
          <w:tcPr>
            <w:tcW w:w="1694" w:type="dxa"/>
            <w:vMerge w:val="restart"/>
          </w:tcPr>
          <w:p w:rsidRPr="00995633" w:rsidR="006C7493" w:rsidP="0032090A" w:rsidRDefault="006C7493" w14:paraId="0CF40E34" w14:textId="77777777">
            <w:pPr>
              <w:spacing w:line="276" w:lineRule="auto"/>
              <w:rPr>
                <w:sz w:val="20"/>
                <w:szCs w:val="20"/>
              </w:rPr>
            </w:pPr>
            <w:r w:rsidRPr="00995633">
              <w:rPr>
                <w:sz w:val="20"/>
                <w:szCs w:val="20"/>
              </w:rPr>
              <w:t>Roemenië</w:t>
            </w:r>
          </w:p>
        </w:tc>
        <w:tc>
          <w:tcPr>
            <w:tcW w:w="1027" w:type="dxa"/>
            <w:tcBorders>
              <w:bottom w:val="dotted" w:color="auto" w:sz="4" w:space="0"/>
            </w:tcBorders>
          </w:tcPr>
          <w:p w:rsidRPr="00995633" w:rsidR="006C7493" w:rsidP="0032090A" w:rsidRDefault="006C7493" w14:paraId="09D1A3F5"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4A8B90EC" w14:textId="77777777">
            <w:pPr>
              <w:spacing w:line="276" w:lineRule="auto"/>
              <w:rPr>
                <w:sz w:val="20"/>
                <w:szCs w:val="20"/>
              </w:rPr>
            </w:pPr>
            <w:r>
              <w:rPr>
                <w:sz w:val="20"/>
                <w:szCs w:val="20"/>
              </w:rPr>
              <w:t>-</w:t>
            </w:r>
          </w:p>
        </w:tc>
        <w:tc>
          <w:tcPr>
            <w:tcW w:w="3676" w:type="dxa"/>
            <w:tcBorders>
              <w:bottom w:val="dotted" w:color="auto" w:sz="4" w:space="0"/>
              <w:right w:val="dotted" w:color="auto" w:sz="4" w:space="0"/>
            </w:tcBorders>
          </w:tcPr>
          <w:p w:rsidRPr="00995633" w:rsidR="006C7493" w:rsidP="0032090A" w:rsidRDefault="006C7493" w14:paraId="674379EF" w14:textId="77777777">
            <w:pPr>
              <w:spacing w:line="276" w:lineRule="auto"/>
              <w:rPr>
                <w:sz w:val="20"/>
                <w:szCs w:val="20"/>
              </w:rPr>
            </w:pPr>
            <w:r>
              <w:rPr>
                <w:sz w:val="20"/>
                <w:szCs w:val="20"/>
              </w:rPr>
              <w:t>-</w:t>
            </w:r>
          </w:p>
        </w:tc>
        <w:tc>
          <w:tcPr>
            <w:tcW w:w="3601" w:type="dxa"/>
            <w:tcBorders>
              <w:left w:val="dotted" w:color="auto" w:sz="4" w:space="0"/>
              <w:bottom w:val="dotted" w:color="auto" w:sz="4" w:space="0"/>
            </w:tcBorders>
          </w:tcPr>
          <w:p w:rsidRPr="00995633" w:rsidR="006C7493" w:rsidP="0032090A" w:rsidRDefault="006C7493" w14:paraId="22A9BB9D" w14:textId="77777777">
            <w:pPr>
              <w:spacing w:line="276" w:lineRule="auto"/>
              <w:rPr>
                <w:sz w:val="20"/>
                <w:szCs w:val="20"/>
              </w:rPr>
            </w:pPr>
            <w:r>
              <w:rPr>
                <w:sz w:val="20"/>
                <w:szCs w:val="20"/>
              </w:rPr>
              <w:t>19,9%</w:t>
            </w:r>
          </w:p>
        </w:tc>
      </w:tr>
      <w:tr w:rsidR="006C7493" w:rsidTr="0032090A" w14:paraId="76F6B0AA" w14:textId="77777777">
        <w:trPr>
          <w:trHeight w:val="162"/>
        </w:trPr>
        <w:tc>
          <w:tcPr>
            <w:tcW w:w="1694" w:type="dxa"/>
            <w:vMerge/>
          </w:tcPr>
          <w:p w:rsidRPr="00995633" w:rsidR="006C7493" w:rsidP="0032090A" w:rsidRDefault="006C7493" w14:paraId="6651B491" w14:textId="77777777">
            <w:pPr>
              <w:spacing w:line="276" w:lineRule="auto"/>
              <w:rPr>
                <w:sz w:val="20"/>
                <w:szCs w:val="20"/>
              </w:rPr>
            </w:pPr>
          </w:p>
        </w:tc>
        <w:tc>
          <w:tcPr>
            <w:tcW w:w="1027" w:type="dxa"/>
            <w:tcBorders>
              <w:top w:val="dotted" w:color="auto" w:sz="4" w:space="0"/>
              <w:bottom w:val="dotted" w:color="auto" w:sz="4" w:space="0"/>
            </w:tcBorders>
          </w:tcPr>
          <w:p w:rsidRPr="00995633" w:rsidR="006C7493" w:rsidP="0032090A" w:rsidRDefault="006C7493" w14:paraId="6789058D" w14:textId="77777777">
            <w:pPr>
              <w:spacing w:line="276" w:lineRule="auto"/>
              <w:rPr>
                <w:i/>
                <w:iCs/>
                <w:sz w:val="20"/>
                <w:szCs w:val="20"/>
              </w:rPr>
            </w:pPr>
            <w:r w:rsidRPr="00995633">
              <w:rPr>
                <w:i/>
                <w:iCs/>
                <w:sz w:val="20"/>
                <w:szCs w:val="20"/>
              </w:rPr>
              <w:t>2025</w:t>
            </w:r>
          </w:p>
        </w:tc>
        <w:tc>
          <w:tcPr>
            <w:tcW w:w="3532" w:type="dxa"/>
            <w:tcBorders>
              <w:top w:val="dotted" w:color="auto" w:sz="4" w:space="0"/>
              <w:bottom w:val="dotted" w:color="auto" w:sz="4" w:space="0"/>
            </w:tcBorders>
          </w:tcPr>
          <w:p w:rsidRPr="00995633" w:rsidR="006C7493" w:rsidP="0032090A" w:rsidRDefault="006C7493" w14:paraId="0EA6DB20" w14:textId="77777777">
            <w:pPr>
              <w:spacing w:line="276" w:lineRule="auto"/>
              <w:rPr>
                <w:sz w:val="20"/>
                <w:szCs w:val="20"/>
              </w:rPr>
            </w:pPr>
            <w:r>
              <w:rPr>
                <w:sz w:val="20"/>
                <w:szCs w:val="20"/>
              </w:rPr>
              <w:t>5,1%</w:t>
            </w:r>
          </w:p>
        </w:tc>
        <w:tc>
          <w:tcPr>
            <w:tcW w:w="3676" w:type="dxa"/>
            <w:tcBorders>
              <w:top w:val="dotted" w:color="auto" w:sz="4" w:space="0"/>
              <w:bottom w:val="dotted" w:color="auto" w:sz="4" w:space="0"/>
              <w:right w:val="dotted" w:color="auto" w:sz="4" w:space="0"/>
            </w:tcBorders>
          </w:tcPr>
          <w:p w:rsidRPr="00995633" w:rsidR="006C7493" w:rsidP="0032090A" w:rsidRDefault="006C7493" w14:paraId="3231197E" w14:textId="77777777">
            <w:pPr>
              <w:spacing w:line="276" w:lineRule="auto"/>
              <w:rPr>
                <w:sz w:val="20"/>
                <w:szCs w:val="20"/>
              </w:rPr>
            </w:pPr>
            <w:r>
              <w:rPr>
                <w:sz w:val="20"/>
                <w:szCs w:val="20"/>
              </w:rPr>
              <w:t>-</w:t>
            </w:r>
          </w:p>
        </w:tc>
        <w:tc>
          <w:tcPr>
            <w:tcW w:w="3601" w:type="dxa"/>
            <w:tcBorders>
              <w:top w:val="dotted" w:color="auto" w:sz="4" w:space="0"/>
              <w:left w:val="dotted" w:color="auto" w:sz="4" w:space="0"/>
              <w:bottom w:val="dotted" w:color="auto" w:sz="4" w:space="0"/>
            </w:tcBorders>
          </w:tcPr>
          <w:p w:rsidRPr="00995633" w:rsidR="006C7493" w:rsidP="0032090A" w:rsidRDefault="006C7493" w14:paraId="20ABB976" w14:textId="77777777">
            <w:pPr>
              <w:spacing w:line="276" w:lineRule="auto"/>
              <w:rPr>
                <w:sz w:val="20"/>
                <w:szCs w:val="20"/>
              </w:rPr>
            </w:pPr>
            <w:r>
              <w:rPr>
                <w:sz w:val="20"/>
                <w:szCs w:val="20"/>
              </w:rPr>
              <w:t>5,4%</w:t>
            </w:r>
          </w:p>
        </w:tc>
      </w:tr>
      <w:tr w:rsidR="006C7493" w:rsidTr="0032090A" w14:paraId="6A49543F" w14:textId="77777777">
        <w:trPr>
          <w:trHeight w:val="162"/>
        </w:trPr>
        <w:tc>
          <w:tcPr>
            <w:tcW w:w="1694" w:type="dxa"/>
            <w:vMerge w:val="restart"/>
          </w:tcPr>
          <w:p w:rsidRPr="00995633" w:rsidR="006C7493" w:rsidP="0032090A" w:rsidRDefault="006C7493" w14:paraId="70E470ED" w14:textId="77777777">
            <w:pPr>
              <w:spacing w:line="276" w:lineRule="auto"/>
              <w:rPr>
                <w:sz w:val="20"/>
                <w:szCs w:val="20"/>
              </w:rPr>
            </w:pPr>
            <w:r w:rsidRPr="00995633">
              <w:rPr>
                <w:sz w:val="20"/>
                <w:szCs w:val="20"/>
              </w:rPr>
              <w:t>Slovenië</w:t>
            </w:r>
          </w:p>
        </w:tc>
        <w:tc>
          <w:tcPr>
            <w:tcW w:w="1027" w:type="dxa"/>
            <w:tcBorders>
              <w:bottom w:val="dotted" w:color="auto" w:sz="4" w:space="0"/>
            </w:tcBorders>
          </w:tcPr>
          <w:p w:rsidRPr="00995633" w:rsidR="006C7493" w:rsidP="0032090A" w:rsidRDefault="006C7493" w14:paraId="06CD2804"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0784D4EF" w14:textId="77777777">
            <w:pPr>
              <w:spacing w:line="276" w:lineRule="auto"/>
              <w:rPr>
                <w:sz w:val="20"/>
                <w:szCs w:val="20"/>
              </w:rPr>
            </w:pPr>
            <w:r>
              <w:rPr>
                <w:sz w:val="20"/>
                <w:szCs w:val="20"/>
              </w:rPr>
              <w:t>6,2%</w:t>
            </w:r>
          </w:p>
        </w:tc>
        <w:tc>
          <w:tcPr>
            <w:tcW w:w="3676" w:type="dxa"/>
            <w:tcBorders>
              <w:bottom w:val="dotted" w:color="auto" w:sz="4" w:space="0"/>
              <w:right w:val="dotted" w:color="auto" w:sz="4" w:space="0"/>
            </w:tcBorders>
          </w:tcPr>
          <w:p w:rsidRPr="00995633" w:rsidR="006C7493" w:rsidP="0032090A" w:rsidRDefault="006C7493" w14:paraId="0DE98023" w14:textId="77777777">
            <w:pPr>
              <w:spacing w:line="276" w:lineRule="auto"/>
              <w:rPr>
                <w:sz w:val="20"/>
                <w:szCs w:val="20"/>
              </w:rPr>
            </w:pPr>
            <w:r>
              <w:rPr>
                <w:sz w:val="20"/>
                <w:szCs w:val="20"/>
              </w:rPr>
              <w:t>4,5%</w:t>
            </w:r>
          </w:p>
        </w:tc>
        <w:tc>
          <w:tcPr>
            <w:tcW w:w="3601" w:type="dxa"/>
            <w:tcBorders>
              <w:left w:val="dotted" w:color="auto" w:sz="4" w:space="0"/>
              <w:bottom w:val="dotted" w:color="auto" w:sz="4" w:space="0"/>
            </w:tcBorders>
          </w:tcPr>
          <w:p w:rsidRPr="00995633" w:rsidR="006C7493" w:rsidP="0032090A" w:rsidRDefault="006C7493" w14:paraId="51E571BE" w14:textId="77777777">
            <w:pPr>
              <w:spacing w:line="276" w:lineRule="auto"/>
              <w:rPr>
                <w:sz w:val="20"/>
                <w:szCs w:val="20"/>
              </w:rPr>
            </w:pPr>
            <w:r>
              <w:rPr>
                <w:sz w:val="20"/>
                <w:szCs w:val="20"/>
              </w:rPr>
              <w:t>4,5%</w:t>
            </w:r>
          </w:p>
        </w:tc>
      </w:tr>
      <w:tr w:rsidR="006C7493" w:rsidTr="0032090A" w14:paraId="0F219CE4" w14:textId="77777777">
        <w:trPr>
          <w:trHeight w:val="86"/>
        </w:trPr>
        <w:tc>
          <w:tcPr>
            <w:tcW w:w="1694" w:type="dxa"/>
            <w:vMerge/>
          </w:tcPr>
          <w:p w:rsidRPr="00995633" w:rsidR="006C7493" w:rsidP="0032090A" w:rsidRDefault="006C7493" w14:paraId="1A31E701"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0777DD58"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1C73337E" w14:textId="77777777">
            <w:pPr>
              <w:spacing w:line="276" w:lineRule="auto"/>
              <w:rPr>
                <w:sz w:val="20"/>
                <w:szCs w:val="20"/>
              </w:rPr>
            </w:pPr>
            <w:r>
              <w:rPr>
                <w:sz w:val="20"/>
                <w:szCs w:val="20"/>
              </w:rPr>
              <w:t>5,6%</w:t>
            </w:r>
          </w:p>
        </w:tc>
        <w:tc>
          <w:tcPr>
            <w:tcW w:w="3676" w:type="dxa"/>
            <w:tcBorders>
              <w:top w:val="dotted" w:color="auto" w:sz="4" w:space="0"/>
              <w:right w:val="dotted" w:color="auto" w:sz="4" w:space="0"/>
            </w:tcBorders>
          </w:tcPr>
          <w:p w:rsidRPr="00995633" w:rsidR="006C7493" w:rsidP="0032090A" w:rsidRDefault="006C7493" w14:paraId="0A8B16EF" w14:textId="77777777">
            <w:pPr>
              <w:spacing w:line="276" w:lineRule="auto"/>
              <w:rPr>
                <w:sz w:val="20"/>
                <w:szCs w:val="20"/>
              </w:rPr>
            </w:pPr>
            <w:r>
              <w:rPr>
                <w:sz w:val="20"/>
                <w:szCs w:val="20"/>
              </w:rPr>
              <w:t>5,3%</w:t>
            </w:r>
          </w:p>
        </w:tc>
        <w:tc>
          <w:tcPr>
            <w:tcW w:w="3601" w:type="dxa"/>
            <w:tcBorders>
              <w:top w:val="dotted" w:color="auto" w:sz="4" w:space="0"/>
              <w:left w:val="dotted" w:color="auto" w:sz="4" w:space="0"/>
            </w:tcBorders>
          </w:tcPr>
          <w:p w:rsidRPr="00995633" w:rsidR="006C7493" w:rsidP="0032090A" w:rsidRDefault="006C7493" w14:paraId="14FB7E1B" w14:textId="77777777">
            <w:pPr>
              <w:spacing w:line="276" w:lineRule="auto"/>
              <w:rPr>
                <w:sz w:val="20"/>
                <w:szCs w:val="20"/>
              </w:rPr>
            </w:pPr>
            <w:r>
              <w:rPr>
                <w:sz w:val="20"/>
                <w:szCs w:val="20"/>
              </w:rPr>
              <w:t>4,6%</w:t>
            </w:r>
          </w:p>
        </w:tc>
      </w:tr>
      <w:tr w:rsidR="006C7493" w:rsidTr="0032090A" w14:paraId="3FD9CD07" w14:textId="77777777">
        <w:trPr>
          <w:trHeight w:val="75"/>
        </w:trPr>
        <w:tc>
          <w:tcPr>
            <w:tcW w:w="1694" w:type="dxa"/>
            <w:vMerge w:val="restart"/>
          </w:tcPr>
          <w:p w:rsidRPr="00995633" w:rsidR="006C7493" w:rsidP="0032090A" w:rsidRDefault="006C7493" w14:paraId="178C8A75" w14:textId="77777777">
            <w:pPr>
              <w:spacing w:line="276" w:lineRule="auto"/>
              <w:rPr>
                <w:sz w:val="20"/>
                <w:szCs w:val="20"/>
              </w:rPr>
            </w:pPr>
            <w:r w:rsidRPr="00995633">
              <w:rPr>
                <w:sz w:val="20"/>
                <w:szCs w:val="20"/>
              </w:rPr>
              <w:t>Slowakije</w:t>
            </w:r>
          </w:p>
        </w:tc>
        <w:tc>
          <w:tcPr>
            <w:tcW w:w="1027" w:type="dxa"/>
            <w:tcBorders>
              <w:bottom w:val="dotted" w:color="auto" w:sz="4" w:space="0"/>
            </w:tcBorders>
          </w:tcPr>
          <w:p w:rsidRPr="00995633" w:rsidR="006C7493" w:rsidP="0032090A" w:rsidRDefault="006C7493" w14:paraId="05A863C1"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28078DE6" w14:textId="77777777">
            <w:pPr>
              <w:spacing w:line="276" w:lineRule="auto"/>
              <w:rPr>
                <w:sz w:val="20"/>
                <w:szCs w:val="20"/>
              </w:rPr>
            </w:pPr>
            <w:r>
              <w:rPr>
                <w:sz w:val="20"/>
                <w:szCs w:val="20"/>
              </w:rPr>
              <w:t>6,2%</w:t>
            </w:r>
          </w:p>
        </w:tc>
        <w:tc>
          <w:tcPr>
            <w:tcW w:w="3676" w:type="dxa"/>
            <w:tcBorders>
              <w:bottom w:val="dotted" w:color="auto" w:sz="4" w:space="0"/>
              <w:right w:val="dotted" w:color="auto" w:sz="4" w:space="0"/>
            </w:tcBorders>
          </w:tcPr>
          <w:p w:rsidRPr="00995633" w:rsidR="006C7493" w:rsidP="0032090A" w:rsidRDefault="006C7493" w14:paraId="44DB7F87" w14:textId="77777777">
            <w:pPr>
              <w:spacing w:line="276" w:lineRule="auto"/>
              <w:rPr>
                <w:sz w:val="20"/>
                <w:szCs w:val="20"/>
              </w:rPr>
            </w:pPr>
            <w:r>
              <w:rPr>
                <w:sz w:val="20"/>
                <w:szCs w:val="20"/>
              </w:rPr>
              <w:t>3,0%</w:t>
            </w:r>
          </w:p>
        </w:tc>
        <w:tc>
          <w:tcPr>
            <w:tcW w:w="3601" w:type="dxa"/>
            <w:tcBorders>
              <w:left w:val="dotted" w:color="auto" w:sz="4" w:space="0"/>
              <w:bottom w:val="dotted" w:color="auto" w:sz="4" w:space="0"/>
            </w:tcBorders>
          </w:tcPr>
          <w:p w:rsidRPr="00995633" w:rsidR="006C7493" w:rsidP="0032090A" w:rsidRDefault="006C7493" w14:paraId="33B8491E" w14:textId="77777777">
            <w:pPr>
              <w:spacing w:line="276" w:lineRule="auto"/>
              <w:rPr>
                <w:sz w:val="20"/>
                <w:szCs w:val="20"/>
              </w:rPr>
            </w:pPr>
            <w:r>
              <w:rPr>
                <w:sz w:val="20"/>
                <w:szCs w:val="20"/>
              </w:rPr>
              <w:t>5,4%</w:t>
            </w:r>
          </w:p>
        </w:tc>
      </w:tr>
      <w:tr w:rsidR="006C7493" w:rsidTr="0032090A" w14:paraId="0460DD56" w14:textId="77777777">
        <w:trPr>
          <w:trHeight w:val="173"/>
        </w:trPr>
        <w:tc>
          <w:tcPr>
            <w:tcW w:w="1694" w:type="dxa"/>
            <w:vMerge/>
          </w:tcPr>
          <w:p w:rsidRPr="00995633" w:rsidR="006C7493" w:rsidP="0032090A" w:rsidRDefault="006C7493" w14:paraId="219B6A2D" w14:textId="77777777">
            <w:pPr>
              <w:spacing w:line="276" w:lineRule="auto"/>
              <w:rPr>
                <w:sz w:val="20"/>
                <w:szCs w:val="20"/>
              </w:rPr>
            </w:pPr>
          </w:p>
        </w:tc>
        <w:tc>
          <w:tcPr>
            <w:tcW w:w="1027" w:type="dxa"/>
            <w:tcBorders>
              <w:top w:val="dotted" w:color="auto" w:sz="4" w:space="0"/>
            </w:tcBorders>
          </w:tcPr>
          <w:p w:rsidRPr="00995633" w:rsidR="006C7493" w:rsidP="0032090A" w:rsidRDefault="006C7493" w14:paraId="6244F1A6" w14:textId="77777777">
            <w:pPr>
              <w:spacing w:line="276" w:lineRule="auto"/>
              <w:rPr>
                <w:sz w:val="20"/>
                <w:szCs w:val="20"/>
              </w:rPr>
            </w:pPr>
            <w:r w:rsidRPr="00995633">
              <w:rPr>
                <w:i/>
                <w:iCs/>
                <w:sz w:val="20"/>
                <w:szCs w:val="20"/>
              </w:rPr>
              <w:t>2025</w:t>
            </w:r>
          </w:p>
        </w:tc>
        <w:tc>
          <w:tcPr>
            <w:tcW w:w="3532" w:type="dxa"/>
            <w:tcBorders>
              <w:top w:val="dotted" w:color="auto" w:sz="4" w:space="0"/>
            </w:tcBorders>
          </w:tcPr>
          <w:p w:rsidRPr="00995633" w:rsidR="006C7493" w:rsidP="0032090A" w:rsidRDefault="006C7493" w14:paraId="09F75B14" w14:textId="77777777">
            <w:pPr>
              <w:spacing w:line="276" w:lineRule="auto"/>
              <w:rPr>
                <w:sz w:val="20"/>
                <w:szCs w:val="20"/>
              </w:rPr>
            </w:pPr>
            <w:r>
              <w:rPr>
                <w:sz w:val="20"/>
                <w:szCs w:val="20"/>
              </w:rPr>
              <w:t>3,8%</w:t>
            </w:r>
          </w:p>
        </w:tc>
        <w:tc>
          <w:tcPr>
            <w:tcW w:w="3676" w:type="dxa"/>
            <w:tcBorders>
              <w:top w:val="dotted" w:color="auto" w:sz="4" w:space="0"/>
              <w:right w:val="dotted" w:color="auto" w:sz="4" w:space="0"/>
            </w:tcBorders>
          </w:tcPr>
          <w:p w:rsidRPr="00995633" w:rsidR="006C7493" w:rsidP="0032090A" w:rsidRDefault="006C7493" w14:paraId="716DC5B6" w14:textId="77777777">
            <w:pPr>
              <w:spacing w:line="276" w:lineRule="auto"/>
              <w:rPr>
                <w:sz w:val="20"/>
                <w:szCs w:val="20"/>
              </w:rPr>
            </w:pPr>
            <w:r>
              <w:rPr>
                <w:sz w:val="20"/>
                <w:szCs w:val="20"/>
              </w:rPr>
              <w:t>3,6%</w:t>
            </w:r>
          </w:p>
        </w:tc>
        <w:tc>
          <w:tcPr>
            <w:tcW w:w="3601" w:type="dxa"/>
            <w:tcBorders>
              <w:top w:val="dotted" w:color="auto" w:sz="4" w:space="0"/>
              <w:left w:val="dotted" w:color="auto" w:sz="4" w:space="0"/>
            </w:tcBorders>
          </w:tcPr>
          <w:p w:rsidRPr="00995633" w:rsidR="006C7493" w:rsidP="0032090A" w:rsidRDefault="006C7493" w14:paraId="1B46C0D8" w14:textId="77777777">
            <w:pPr>
              <w:spacing w:line="276" w:lineRule="auto"/>
              <w:rPr>
                <w:sz w:val="20"/>
                <w:szCs w:val="20"/>
              </w:rPr>
            </w:pPr>
            <w:r>
              <w:rPr>
                <w:sz w:val="20"/>
                <w:szCs w:val="20"/>
              </w:rPr>
              <w:t>3,8%</w:t>
            </w:r>
          </w:p>
        </w:tc>
      </w:tr>
      <w:tr w:rsidR="006C7493" w:rsidTr="0032090A" w14:paraId="42E84081" w14:textId="77777777">
        <w:trPr>
          <w:trHeight w:val="173"/>
        </w:trPr>
        <w:tc>
          <w:tcPr>
            <w:tcW w:w="1694" w:type="dxa"/>
            <w:vMerge w:val="restart"/>
          </w:tcPr>
          <w:p w:rsidRPr="00995633" w:rsidR="006C7493" w:rsidP="0032090A" w:rsidRDefault="006C7493" w14:paraId="1317EEEE" w14:textId="77777777">
            <w:pPr>
              <w:spacing w:line="276" w:lineRule="auto"/>
              <w:rPr>
                <w:sz w:val="20"/>
                <w:szCs w:val="20"/>
              </w:rPr>
            </w:pPr>
            <w:r w:rsidRPr="00995633">
              <w:rPr>
                <w:sz w:val="20"/>
                <w:szCs w:val="20"/>
              </w:rPr>
              <w:t>Spanje</w:t>
            </w:r>
          </w:p>
        </w:tc>
        <w:tc>
          <w:tcPr>
            <w:tcW w:w="1027" w:type="dxa"/>
            <w:tcBorders>
              <w:bottom w:val="dotted" w:color="auto" w:sz="4" w:space="0"/>
            </w:tcBorders>
          </w:tcPr>
          <w:p w:rsidRPr="00995633" w:rsidR="006C7493" w:rsidP="0032090A" w:rsidRDefault="006C7493" w14:paraId="1835ED44"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67DC0425" w14:textId="77777777">
            <w:pPr>
              <w:spacing w:line="276" w:lineRule="auto"/>
              <w:rPr>
                <w:sz w:val="20"/>
                <w:szCs w:val="20"/>
              </w:rPr>
            </w:pPr>
            <w:r>
              <w:rPr>
                <w:sz w:val="20"/>
                <w:szCs w:val="20"/>
              </w:rPr>
              <w:t>5,3%</w:t>
            </w:r>
          </w:p>
        </w:tc>
        <w:tc>
          <w:tcPr>
            <w:tcW w:w="3676" w:type="dxa"/>
            <w:tcBorders>
              <w:bottom w:val="dotted" w:color="auto" w:sz="4" w:space="0"/>
              <w:right w:val="dotted" w:color="auto" w:sz="4" w:space="0"/>
            </w:tcBorders>
          </w:tcPr>
          <w:p w:rsidRPr="00995633" w:rsidR="006C7493" w:rsidP="0032090A" w:rsidRDefault="006C7493" w14:paraId="7E97F35A" w14:textId="77777777">
            <w:pPr>
              <w:spacing w:line="276" w:lineRule="auto"/>
              <w:rPr>
                <w:sz w:val="20"/>
                <w:szCs w:val="20"/>
              </w:rPr>
            </w:pPr>
            <w:r>
              <w:rPr>
                <w:sz w:val="20"/>
                <w:szCs w:val="20"/>
              </w:rPr>
              <w:t>4,1%</w:t>
            </w:r>
          </w:p>
        </w:tc>
        <w:tc>
          <w:tcPr>
            <w:tcW w:w="3601" w:type="dxa"/>
            <w:tcBorders>
              <w:left w:val="dotted" w:color="auto" w:sz="4" w:space="0"/>
              <w:bottom w:val="dotted" w:color="auto" w:sz="4" w:space="0"/>
            </w:tcBorders>
          </w:tcPr>
          <w:p w:rsidRPr="00995633" w:rsidR="006C7493" w:rsidP="0032090A" w:rsidRDefault="006C7493" w14:paraId="265FC3D3" w14:textId="77777777">
            <w:pPr>
              <w:spacing w:line="276" w:lineRule="auto"/>
              <w:rPr>
                <w:sz w:val="20"/>
                <w:szCs w:val="20"/>
              </w:rPr>
            </w:pPr>
            <w:r>
              <w:rPr>
                <w:sz w:val="20"/>
                <w:szCs w:val="20"/>
              </w:rPr>
              <w:t>3,5%</w:t>
            </w:r>
          </w:p>
        </w:tc>
      </w:tr>
      <w:tr w:rsidR="006C7493" w:rsidTr="0032090A" w14:paraId="015BEC89" w14:textId="77777777">
        <w:trPr>
          <w:trHeight w:val="173"/>
        </w:trPr>
        <w:tc>
          <w:tcPr>
            <w:tcW w:w="1694" w:type="dxa"/>
            <w:vMerge/>
          </w:tcPr>
          <w:p w:rsidRPr="00995633" w:rsidR="006C7493" w:rsidP="0032090A" w:rsidRDefault="006C7493" w14:paraId="62FF804F" w14:textId="77777777">
            <w:pPr>
              <w:spacing w:line="276" w:lineRule="auto"/>
              <w:rPr>
                <w:sz w:val="20"/>
                <w:szCs w:val="20"/>
              </w:rPr>
            </w:pPr>
          </w:p>
        </w:tc>
        <w:tc>
          <w:tcPr>
            <w:tcW w:w="1027" w:type="dxa"/>
            <w:tcBorders>
              <w:top w:val="dotted" w:color="auto" w:sz="4" w:space="0"/>
              <w:bottom w:val="dotted" w:color="auto" w:sz="4" w:space="0"/>
            </w:tcBorders>
          </w:tcPr>
          <w:p w:rsidRPr="00995633" w:rsidR="006C7493" w:rsidP="0032090A" w:rsidRDefault="006C7493" w14:paraId="7EEA42AB" w14:textId="77777777">
            <w:pPr>
              <w:spacing w:line="276" w:lineRule="auto"/>
              <w:rPr>
                <w:i/>
                <w:iCs/>
                <w:sz w:val="20"/>
                <w:szCs w:val="20"/>
              </w:rPr>
            </w:pPr>
            <w:r w:rsidRPr="00995633">
              <w:rPr>
                <w:i/>
                <w:iCs/>
                <w:sz w:val="20"/>
                <w:szCs w:val="20"/>
              </w:rPr>
              <w:t>2025</w:t>
            </w:r>
          </w:p>
        </w:tc>
        <w:tc>
          <w:tcPr>
            <w:tcW w:w="3532" w:type="dxa"/>
            <w:tcBorders>
              <w:top w:val="dotted" w:color="auto" w:sz="4" w:space="0"/>
              <w:bottom w:val="dotted" w:color="auto" w:sz="4" w:space="0"/>
            </w:tcBorders>
          </w:tcPr>
          <w:p w:rsidRPr="00995633" w:rsidR="006C7493" w:rsidP="0032090A" w:rsidRDefault="006C7493" w14:paraId="7C0C9081" w14:textId="77777777">
            <w:pPr>
              <w:spacing w:line="276" w:lineRule="auto"/>
              <w:rPr>
                <w:sz w:val="20"/>
                <w:szCs w:val="20"/>
              </w:rPr>
            </w:pPr>
            <w:r>
              <w:rPr>
                <w:sz w:val="20"/>
                <w:szCs w:val="20"/>
              </w:rPr>
              <w:t>3,7%</w:t>
            </w:r>
          </w:p>
        </w:tc>
        <w:tc>
          <w:tcPr>
            <w:tcW w:w="3676" w:type="dxa"/>
            <w:tcBorders>
              <w:top w:val="dotted" w:color="auto" w:sz="4" w:space="0"/>
              <w:bottom w:val="dotted" w:color="auto" w:sz="4" w:space="0"/>
              <w:right w:val="dotted" w:color="auto" w:sz="4" w:space="0"/>
            </w:tcBorders>
          </w:tcPr>
          <w:p w:rsidRPr="00995633" w:rsidR="006C7493" w:rsidP="0032090A" w:rsidRDefault="006C7493" w14:paraId="0910A4C5" w14:textId="77777777">
            <w:pPr>
              <w:spacing w:line="276" w:lineRule="auto"/>
              <w:rPr>
                <w:sz w:val="20"/>
                <w:szCs w:val="20"/>
              </w:rPr>
            </w:pPr>
            <w:r>
              <w:rPr>
                <w:sz w:val="20"/>
                <w:szCs w:val="20"/>
              </w:rPr>
              <w:t>4,1%</w:t>
            </w:r>
          </w:p>
        </w:tc>
        <w:tc>
          <w:tcPr>
            <w:tcW w:w="3601" w:type="dxa"/>
            <w:tcBorders>
              <w:top w:val="dotted" w:color="auto" w:sz="4" w:space="0"/>
              <w:left w:val="dotted" w:color="auto" w:sz="4" w:space="0"/>
              <w:bottom w:val="dotted" w:color="auto" w:sz="4" w:space="0"/>
            </w:tcBorders>
          </w:tcPr>
          <w:p w:rsidRPr="00995633" w:rsidR="006C7493" w:rsidP="0032090A" w:rsidRDefault="006C7493" w14:paraId="5E8DCF70" w14:textId="77777777">
            <w:pPr>
              <w:spacing w:line="276" w:lineRule="auto"/>
              <w:rPr>
                <w:sz w:val="20"/>
                <w:szCs w:val="20"/>
              </w:rPr>
            </w:pPr>
            <w:r>
              <w:rPr>
                <w:sz w:val="20"/>
                <w:szCs w:val="20"/>
              </w:rPr>
              <w:t>4,2%</w:t>
            </w:r>
          </w:p>
        </w:tc>
      </w:tr>
      <w:tr w:rsidR="006C7493" w:rsidTr="0032090A" w14:paraId="00E9F0E0" w14:textId="77777777">
        <w:trPr>
          <w:trHeight w:val="107"/>
        </w:trPr>
        <w:tc>
          <w:tcPr>
            <w:tcW w:w="1694" w:type="dxa"/>
            <w:vMerge w:val="restart"/>
          </w:tcPr>
          <w:p w:rsidRPr="00995633" w:rsidR="006C7493" w:rsidP="0032090A" w:rsidRDefault="006C7493" w14:paraId="3E8DE603" w14:textId="77777777">
            <w:pPr>
              <w:spacing w:line="276" w:lineRule="auto"/>
              <w:rPr>
                <w:sz w:val="20"/>
                <w:szCs w:val="20"/>
              </w:rPr>
            </w:pPr>
            <w:r w:rsidRPr="00995633">
              <w:rPr>
                <w:sz w:val="20"/>
                <w:szCs w:val="20"/>
              </w:rPr>
              <w:t>Tsjechië</w:t>
            </w:r>
          </w:p>
        </w:tc>
        <w:tc>
          <w:tcPr>
            <w:tcW w:w="1027" w:type="dxa"/>
            <w:tcBorders>
              <w:bottom w:val="dotted" w:color="auto" w:sz="4" w:space="0"/>
            </w:tcBorders>
          </w:tcPr>
          <w:p w:rsidRPr="00995633" w:rsidR="006C7493" w:rsidP="0032090A" w:rsidRDefault="006C7493" w14:paraId="64BDDB4E" w14:textId="77777777">
            <w:pPr>
              <w:spacing w:line="276" w:lineRule="auto"/>
              <w:rPr>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629318F3" w14:textId="77777777">
            <w:pPr>
              <w:spacing w:line="276" w:lineRule="auto"/>
              <w:rPr>
                <w:sz w:val="20"/>
                <w:szCs w:val="20"/>
              </w:rPr>
            </w:pPr>
            <w:r>
              <w:rPr>
                <w:sz w:val="20"/>
                <w:szCs w:val="20"/>
              </w:rPr>
              <w:t>5,3%</w:t>
            </w:r>
          </w:p>
        </w:tc>
        <w:tc>
          <w:tcPr>
            <w:tcW w:w="3676" w:type="dxa"/>
            <w:tcBorders>
              <w:bottom w:val="dotted" w:color="auto" w:sz="4" w:space="0"/>
              <w:right w:val="dotted" w:color="auto" w:sz="4" w:space="0"/>
            </w:tcBorders>
          </w:tcPr>
          <w:p w:rsidRPr="00995633" w:rsidR="006C7493" w:rsidP="0032090A" w:rsidRDefault="006C7493" w14:paraId="40310568" w14:textId="77777777">
            <w:pPr>
              <w:spacing w:line="276" w:lineRule="auto"/>
              <w:rPr>
                <w:sz w:val="20"/>
                <w:szCs w:val="20"/>
              </w:rPr>
            </w:pPr>
            <w:r>
              <w:rPr>
                <w:sz w:val="20"/>
                <w:szCs w:val="20"/>
              </w:rPr>
              <w:t>2,8%</w:t>
            </w:r>
          </w:p>
        </w:tc>
        <w:tc>
          <w:tcPr>
            <w:tcW w:w="3601" w:type="dxa"/>
            <w:tcBorders>
              <w:left w:val="dotted" w:color="auto" w:sz="4" w:space="0"/>
              <w:bottom w:val="dotted" w:color="auto" w:sz="4" w:space="0"/>
            </w:tcBorders>
          </w:tcPr>
          <w:p w:rsidRPr="00995633" w:rsidR="006C7493" w:rsidP="0032090A" w:rsidRDefault="006C7493" w14:paraId="33A94C89" w14:textId="77777777">
            <w:pPr>
              <w:spacing w:line="276" w:lineRule="auto"/>
              <w:rPr>
                <w:sz w:val="20"/>
                <w:szCs w:val="20"/>
              </w:rPr>
            </w:pPr>
            <w:r>
              <w:rPr>
                <w:sz w:val="20"/>
                <w:szCs w:val="20"/>
              </w:rPr>
              <w:t>0,0%</w:t>
            </w:r>
          </w:p>
        </w:tc>
      </w:tr>
      <w:tr w:rsidR="006C7493" w:rsidTr="0032090A" w14:paraId="3A1ED467" w14:textId="77777777">
        <w:trPr>
          <w:trHeight w:val="141"/>
        </w:trPr>
        <w:tc>
          <w:tcPr>
            <w:tcW w:w="1694" w:type="dxa"/>
            <w:vMerge/>
          </w:tcPr>
          <w:p w:rsidRPr="00995633" w:rsidR="006C7493" w:rsidP="0032090A" w:rsidRDefault="006C7493" w14:paraId="29CA7155" w14:textId="77777777">
            <w:pPr>
              <w:spacing w:line="276" w:lineRule="auto"/>
              <w:rPr>
                <w:sz w:val="20"/>
                <w:szCs w:val="20"/>
              </w:rPr>
            </w:pPr>
          </w:p>
        </w:tc>
        <w:tc>
          <w:tcPr>
            <w:tcW w:w="1027" w:type="dxa"/>
            <w:tcBorders>
              <w:top w:val="dotted" w:color="auto" w:sz="4" w:space="0"/>
              <w:bottom w:val="dotted" w:color="auto" w:sz="4" w:space="0"/>
            </w:tcBorders>
          </w:tcPr>
          <w:p w:rsidRPr="00995633" w:rsidR="006C7493" w:rsidP="0032090A" w:rsidRDefault="006C7493" w14:paraId="566A86F2" w14:textId="77777777">
            <w:pPr>
              <w:spacing w:line="276" w:lineRule="auto"/>
              <w:rPr>
                <w:sz w:val="20"/>
                <w:szCs w:val="20"/>
              </w:rPr>
            </w:pPr>
            <w:r w:rsidRPr="00995633">
              <w:rPr>
                <w:i/>
                <w:iCs/>
                <w:sz w:val="20"/>
                <w:szCs w:val="20"/>
              </w:rPr>
              <w:t>2025</w:t>
            </w:r>
          </w:p>
        </w:tc>
        <w:tc>
          <w:tcPr>
            <w:tcW w:w="3532" w:type="dxa"/>
            <w:tcBorders>
              <w:top w:val="dotted" w:color="auto" w:sz="4" w:space="0"/>
              <w:bottom w:val="dotted" w:color="auto" w:sz="4" w:space="0"/>
            </w:tcBorders>
          </w:tcPr>
          <w:p w:rsidRPr="00995633" w:rsidR="006C7493" w:rsidP="0032090A" w:rsidRDefault="006C7493" w14:paraId="4FC7D8AD" w14:textId="77777777">
            <w:pPr>
              <w:spacing w:line="276" w:lineRule="auto"/>
              <w:rPr>
                <w:sz w:val="20"/>
                <w:szCs w:val="20"/>
              </w:rPr>
            </w:pPr>
            <w:r>
              <w:rPr>
                <w:sz w:val="20"/>
                <w:szCs w:val="20"/>
              </w:rPr>
              <w:t>4,5%</w:t>
            </w:r>
          </w:p>
        </w:tc>
        <w:tc>
          <w:tcPr>
            <w:tcW w:w="3676" w:type="dxa"/>
            <w:tcBorders>
              <w:top w:val="dotted" w:color="auto" w:sz="4" w:space="0"/>
              <w:bottom w:val="dotted" w:color="auto" w:sz="4" w:space="0"/>
              <w:right w:val="dotted" w:color="auto" w:sz="4" w:space="0"/>
            </w:tcBorders>
          </w:tcPr>
          <w:p w:rsidRPr="00995633" w:rsidR="006C7493" w:rsidP="0032090A" w:rsidRDefault="006C7493" w14:paraId="40D05670" w14:textId="77777777">
            <w:pPr>
              <w:spacing w:line="276" w:lineRule="auto"/>
              <w:rPr>
                <w:sz w:val="20"/>
                <w:szCs w:val="20"/>
              </w:rPr>
            </w:pPr>
            <w:r>
              <w:rPr>
                <w:sz w:val="20"/>
                <w:szCs w:val="20"/>
              </w:rPr>
              <w:t>3,3%</w:t>
            </w:r>
          </w:p>
        </w:tc>
        <w:tc>
          <w:tcPr>
            <w:tcW w:w="3601" w:type="dxa"/>
            <w:tcBorders>
              <w:top w:val="dotted" w:color="auto" w:sz="4" w:space="0"/>
              <w:left w:val="dotted" w:color="auto" w:sz="4" w:space="0"/>
              <w:bottom w:val="dotted" w:color="auto" w:sz="4" w:space="0"/>
            </w:tcBorders>
          </w:tcPr>
          <w:p w:rsidRPr="00995633" w:rsidR="006C7493" w:rsidP="0032090A" w:rsidRDefault="006C7493" w14:paraId="1390EE9E" w14:textId="77777777">
            <w:pPr>
              <w:spacing w:line="276" w:lineRule="auto"/>
              <w:rPr>
                <w:sz w:val="20"/>
                <w:szCs w:val="20"/>
              </w:rPr>
            </w:pPr>
            <w:r>
              <w:rPr>
                <w:sz w:val="20"/>
                <w:szCs w:val="20"/>
              </w:rPr>
              <w:t>4,0%</w:t>
            </w:r>
          </w:p>
        </w:tc>
      </w:tr>
      <w:tr w:rsidR="006C7493" w:rsidTr="0032090A" w14:paraId="2C1F3F1A" w14:textId="77777777">
        <w:trPr>
          <w:trHeight w:val="141"/>
        </w:trPr>
        <w:tc>
          <w:tcPr>
            <w:tcW w:w="1694" w:type="dxa"/>
            <w:vMerge w:val="restart"/>
          </w:tcPr>
          <w:p w:rsidRPr="00995633" w:rsidR="006C7493" w:rsidP="0032090A" w:rsidRDefault="006C7493" w14:paraId="4BC74550" w14:textId="77777777">
            <w:pPr>
              <w:spacing w:line="276" w:lineRule="auto"/>
              <w:rPr>
                <w:sz w:val="20"/>
                <w:szCs w:val="20"/>
              </w:rPr>
            </w:pPr>
            <w:r w:rsidRPr="00995633">
              <w:rPr>
                <w:sz w:val="20"/>
                <w:szCs w:val="20"/>
              </w:rPr>
              <w:t>Zweden</w:t>
            </w:r>
          </w:p>
        </w:tc>
        <w:tc>
          <w:tcPr>
            <w:tcW w:w="1027" w:type="dxa"/>
            <w:tcBorders>
              <w:bottom w:val="dotted" w:color="auto" w:sz="4" w:space="0"/>
            </w:tcBorders>
          </w:tcPr>
          <w:p w:rsidRPr="00995633" w:rsidR="006C7493" w:rsidP="0032090A" w:rsidRDefault="006C7493" w14:paraId="36BAFC5C" w14:textId="77777777">
            <w:pPr>
              <w:spacing w:line="276" w:lineRule="auto"/>
              <w:rPr>
                <w:i/>
                <w:iCs/>
                <w:sz w:val="20"/>
                <w:szCs w:val="20"/>
              </w:rPr>
            </w:pPr>
            <w:r w:rsidRPr="00995633">
              <w:rPr>
                <w:i/>
                <w:iCs/>
                <w:sz w:val="20"/>
                <w:szCs w:val="20"/>
              </w:rPr>
              <w:t>202</w:t>
            </w:r>
            <w:r>
              <w:rPr>
                <w:i/>
                <w:iCs/>
                <w:sz w:val="20"/>
                <w:szCs w:val="20"/>
              </w:rPr>
              <w:t>4</w:t>
            </w:r>
          </w:p>
        </w:tc>
        <w:tc>
          <w:tcPr>
            <w:tcW w:w="3532" w:type="dxa"/>
            <w:tcBorders>
              <w:bottom w:val="dotted" w:color="auto" w:sz="4" w:space="0"/>
            </w:tcBorders>
          </w:tcPr>
          <w:p w:rsidRPr="00995633" w:rsidR="006C7493" w:rsidP="0032090A" w:rsidRDefault="006C7493" w14:paraId="3E701749" w14:textId="77777777">
            <w:pPr>
              <w:spacing w:line="276" w:lineRule="auto"/>
              <w:rPr>
                <w:sz w:val="20"/>
                <w:szCs w:val="20"/>
              </w:rPr>
            </w:pPr>
            <w:r>
              <w:rPr>
                <w:sz w:val="20"/>
                <w:szCs w:val="20"/>
              </w:rPr>
              <w:t>6,4%</w:t>
            </w:r>
          </w:p>
        </w:tc>
        <w:tc>
          <w:tcPr>
            <w:tcW w:w="3676" w:type="dxa"/>
            <w:tcBorders>
              <w:bottom w:val="dotted" w:color="auto" w:sz="4" w:space="0"/>
              <w:right w:val="dotted" w:color="auto" w:sz="4" w:space="0"/>
            </w:tcBorders>
          </w:tcPr>
          <w:p w:rsidRPr="00995633" w:rsidR="006C7493" w:rsidP="0032090A" w:rsidRDefault="006C7493" w14:paraId="6D3A1865" w14:textId="77777777">
            <w:pPr>
              <w:spacing w:line="276" w:lineRule="auto"/>
              <w:rPr>
                <w:sz w:val="20"/>
                <w:szCs w:val="20"/>
              </w:rPr>
            </w:pPr>
            <w:r>
              <w:rPr>
                <w:sz w:val="20"/>
                <w:szCs w:val="20"/>
              </w:rPr>
              <w:t>6,1%</w:t>
            </w:r>
          </w:p>
        </w:tc>
        <w:tc>
          <w:tcPr>
            <w:tcW w:w="3601" w:type="dxa"/>
            <w:tcBorders>
              <w:left w:val="dotted" w:color="auto" w:sz="4" w:space="0"/>
              <w:bottom w:val="dotted" w:color="auto" w:sz="4" w:space="0"/>
            </w:tcBorders>
          </w:tcPr>
          <w:p w:rsidRPr="00995633" w:rsidR="006C7493" w:rsidP="0032090A" w:rsidRDefault="006C7493" w14:paraId="68C6C277" w14:textId="77777777">
            <w:pPr>
              <w:spacing w:line="276" w:lineRule="auto"/>
              <w:rPr>
                <w:sz w:val="20"/>
                <w:szCs w:val="20"/>
              </w:rPr>
            </w:pPr>
            <w:r>
              <w:rPr>
                <w:sz w:val="20"/>
                <w:szCs w:val="20"/>
              </w:rPr>
              <w:t>6,1%</w:t>
            </w:r>
          </w:p>
        </w:tc>
      </w:tr>
      <w:tr w:rsidR="006C7493" w:rsidTr="0032090A" w14:paraId="546B586A" w14:textId="77777777">
        <w:trPr>
          <w:trHeight w:val="141"/>
        </w:trPr>
        <w:tc>
          <w:tcPr>
            <w:tcW w:w="1694" w:type="dxa"/>
            <w:vMerge/>
          </w:tcPr>
          <w:p w:rsidRPr="00995633" w:rsidR="006C7493" w:rsidP="0032090A" w:rsidRDefault="006C7493" w14:paraId="45C48330" w14:textId="77777777">
            <w:pPr>
              <w:spacing w:line="276" w:lineRule="auto"/>
              <w:rPr>
                <w:sz w:val="20"/>
                <w:szCs w:val="20"/>
              </w:rPr>
            </w:pPr>
          </w:p>
        </w:tc>
        <w:tc>
          <w:tcPr>
            <w:tcW w:w="1027" w:type="dxa"/>
            <w:tcBorders>
              <w:top w:val="dotted" w:color="auto" w:sz="4" w:space="0"/>
              <w:bottom w:val="dotted" w:color="auto" w:sz="4" w:space="0"/>
            </w:tcBorders>
          </w:tcPr>
          <w:p w:rsidRPr="00995633" w:rsidR="006C7493" w:rsidP="0032090A" w:rsidRDefault="006C7493" w14:paraId="1EE9B1DD" w14:textId="77777777">
            <w:pPr>
              <w:spacing w:line="276" w:lineRule="auto"/>
              <w:rPr>
                <w:i/>
                <w:iCs/>
                <w:sz w:val="20"/>
                <w:szCs w:val="20"/>
              </w:rPr>
            </w:pPr>
            <w:r w:rsidRPr="00995633">
              <w:rPr>
                <w:i/>
                <w:iCs/>
                <w:sz w:val="20"/>
                <w:szCs w:val="20"/>
              </w:rPr>
              <w:t>2025</w:t>
            </w:r>
          </w:p>
        </w:tc>
        <w:tc>
          <w:tcPr>
            <w:tcW w:w="3532" w:type="dxa"/>
            <w:tcBorders>
              <w:top w:val="dotted" w:color="auto" w:sz="4" w:space="0"/>
              <w:bottom w:val="dotted" w:color="auto" w:sz="4" w:space="0"/>
            </w:tcBorders>
          </w:tcPr>
          <w:p w:rsidRPr="00995633" w:rsidR="006C7493" w:rsidP="0032090A" w:rsidRDefault="006C7493" w14:paraId="06593492" w14:textId="77777777">
            <w:pPr>
              <w:spacing w:line="276" w:lineRule="auto"/>
              <w:rPr>
                <w:sz w:val="20"/>
                <w:szCs w:val="20"/>
              </w:rPr>
            </w:pPr>
            <w:r>
              <w:rPr>
                <w:sz w:val="20"/>
                <w:szCs w:val="20"/>
              </w:rPr>
              <w:t>4,0%</w:t>
            </w:r>
          </w:p>
        </w:tc>
        <w:tc>
          <w:tcPr>
            <w:tcW w:w="3676" w:type="dxa"/>
            <w:tcBorders>
              <w:top w:val="dotted" w:color="auto" w:sz="4" w:space="0"/>
              <w:bottom w:val="dotted" w:color="auto" w:sz="4" w:space="0"/>
              <w:right w:val="dotted" w:color="auto" w:sz="4" w:space="0"/>
            </w:tcBorders>
          </w:tcPr>
          <w:p w:rsidRPr="00995633" w:rsidR="006C7493" w:rsidP="0032090A" w:rsidRDefault="006C7493" w14:paraId="27426AE1" w14:textId="77777777">
            <w:pPr>
              <w:spacing w:line="276" w:lineRule="auto"/>
              <w:rPr>
                <w:sz w:val="20"/>
                <w:szCs w:val="20"/>
              </w:rPr>
            </w:pPr>
            <w:r>
              <w:rPr>
                <w:sz w:val="20"/>
                <w:szCs w:val="20"/>
              </w:rPr>
              <w:t>4,1%</w:t>
            </w:r>
          </w:p>
        </w:tc>
        <w:tc>
          <w:tcPr>
            <w:tcW w:w="3601" w:type="dxa"/>
            <w:tcBorders>
              <w:top w:val="dotted" w:color="auto" w:sz="4" w:space="0"/>
              <w:left w:val="dotted" w:color="auto" w:sz="4" w:space="0"/>
              <w:bottom w:val="dotted" w:color="auto" w:sz="4" w:space="0"/>
            </w:tcBorders>
          </w:tcPr>
          <w:p w:rsidRPr="00995633" w:rsidR="006C7493" w:rsidP="0032090A" w:rsidRDefault="006C7493" w14:paraId="3A0B092A" w14:textId="77777777">
            <w:pPr>
              <w:spacing w:line="276" w:lineRule="auto"/>
              <w:rPr>
                <w:sz w:val="20"/>
                <w:szCs w:val="20"/>
              </w:rPr>
            </w:pPr>
            <w:r>
              <w:rPr>
                <w:sz w:val="20"/>
                <w:szCs w:val="20"/>
              </w:rPr>
              <w:t>1,7%</w:t>
            </w:r>
          </w:p>
        </w:tc>
      </w:tr>
    </w:tbl>
    <w:p w:rsidRPr="008D06E2" w:rsidR="006C7493" w:rsidP="008D06E2" w:rsidRDefault="006C7493" w14:paraId="68F1FF44" w14:textId="77777777">
      <w:pPr>
        <w:spacing w:line="240" w:lineRule="auto"/>
        <w:rPr>
          <w:rFonts w:ascii="Verdana" w:hAnsi="Verdana"/>
          <w:sz w:val="18"/>
          <w:szCs w:val="18"/>
        </w:rPr>
      </w:pPr>
    </w:p>
    <w:sectPr w:rsidRPr="008D06E2" w:rsidR="006C7493" w:rsidSect="00106016">
      <w:pgSz w:w="16838" w:h="11906" w:orient="landscape"/>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89C5" w14:textId="77777777" w:rsidR="00010C3E" w:rsidRDefault="00010C3E" w:rsidP="00F871DE">
      <w:pPr>
        <w:spacing w:after="0" w:line="240" w:lineRule="auto"/>
      </w:pPr>
      <w:r>
        <w:separator/>
      </w:r>
    </w:p>
  </w:endnote>
  <w:endnote w:type="continuationSeparator" w:id="0">
    <w:p w14:paraId="1DD2299C" w14:textId="77777777" w:rsidR="00010C3E" w:rsidRDefault="00010C3E" w:rsidP="00F8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982A" w14:textId="77777777" w:rsidR="00010C3E" w:rsidRDefault="00010C3E" w:rsidP="00F871DE">
      <w:pPr>
        <w:spacing w:after="0" w:line="240" w:lineRule="auto"/>
      </w:pPr>
      <w:r>
        <w:separator/>
      </w:r>
    </w:p>
  </w:footnote>
  <w:footnote w:type="continuationSeparator" w:id="0">
    <w:p w14:paraId="531A8C90" w14:textId="77777777" w:rsidR="00010C3E" w:rsidRDefault="00010C3E" w:rsidP="00F871DE">
      <w:pPr>
        <w:spacing w:after="0" w:line="240" w:lineRule="auto"/>
      </w:pPr>
      <w:r>
        <w:continuationSeparator/>
      </w:r>
    </w:p>
  </w:footnote>
  <w:footnote w:id="1">
    <w:p w14:paraId="5693B61F" w14:textId="77777777" w:rsidR="00160D6A" w:rsidRDefault="00160D6A" w:rsidP="00160D6A">
      <w:pPr>
        <w:pStyle w:val="Voetnoottekst"/>
      </w:pPr>
      <w:r>
        <w:rPr>
          <w:rStyle w:val="Voetnootmarkering"/>
        </w:rPr>
        <w:footnoteRef/>
      </w:r>
      <w:r>
        <w:t xml:space="preserve"> </w:t>
      </w:r>
      <w:hyperlink r:id="rId1" w:history="1">
        <w:proofErr w:type="spellStart"/>
        <w:r w:rsidRPr="009E1973">
          <w:rPr>
            <w:rStyle w:val="Hyperlink"/>
          </w:rPr>
          <w:t>Convergence</w:t>
        </w:r>
        <w:proofErr w:type="spellEnd"/>
        <w:r w:rsidRPr="009E1973">
          <w:rPr>
            <w:rStyle w:val="Hyperlink"/>
          </w:rPr>
          <w:t xml:space="preserve"> Report, </w:t>
        </w:r>
        <w:proofErr w:type="spellStart"/>
        <w:r w:rsidRPr="009E1973">
          <w:rPr>
            <w:rStyle w:val="Hyperlink"/>
          </w:rPr>
          <w:t>June</w:t>
        </w:r>
        <w:proofErr w:type="spellEnd"/>
        <w:r w:rsidRPr="009E1973">
          <w:rPr>
            <w:rStyle w:val="Hyperlink"/>
          </w:rPr>
          <w:t xml:space="preserve"> 2025</w:t>
        </w:r>
      </w:hyperlink>
    </w:p>
  </w:footnote>
  <w:footnote w:id="2">
    <w:p w14:paraId="7BBEA8C9" w14:textId="77777777" w:rsidR="00160D6A" w:rsidRDefault="00160D6A" w:rsidP="00160D6A">
      <w:pPr>
        <w:pStyle w:val="Voetnoottekst"/>
      </w:pPr>
      <w:r>
        <w:rPr>
          <w:rStyle w:val="Voetnootmarkering"/>
        </w:rPr>
        <w:footnoteRef/>
      </w:r>
      <w:r>
        <w:t xml:space="preserve"> </w:t>
      </w:r>
      <w:hyperlink r:id="rId2" w:history="1">
        <w:proofErr w:type="spellStart"/>
        <w:r w:rsidRPr="00AC6342">
          <w:rPr>
            <w:rStyle w:val="Hyperlink"/>
          </w:rPr>
          <w:t>Convergence</w:t>
        </w:r>
        <w:proofErr w:type="spellEnd"/>
        <w:r w:rsidRPr="00AC6342">
          <w:rPr>
            <w:rStyle w:val="Hyperlink"/>
          </w:rPr>
          <w:t xml:space="preserve"> Report 2025 on Bulgaria - European </w:t>
        </w:r>
        <w:proofErr w:type="spellStart"/>
        <w:r w:rsidRPr="00AC6342">
          <w:rPr>
            <w:rStyle w:val="Hyperlink"/>
          </w:rPr>
          <w:t>Commission</w:t>
        </w:r>
        <w:proofErr w:type="spellEnd"/>
      </w:hyperlink>
    </w:p>
  </w:footnote>
  <w:footnote w:id="3">
    <w:p w14:paraId="6D6E522E" w14:textId="77777777" w:rsidR="00B20609" w:rsidRPr="007A2775" w:rsidRDefault="00B20609" w:rsidP="00B20609">
      <w:pPr>
        <w:pStyle w:val="Voetnoottekst"/>
        <w:rPr>
          <w:rFonts w:ascii="Verdana" w:hAnsi="Verdana"/>
          <w:sz w:val="16"/>
          <w:szCs w:val="16"/>
        </w:rPr>
      </w:pPr>
      <w:r w:rsidRPr="007A2775">
        <w:rPr>
          <w:rStyle w:val="Voetnootmarkering"/>
          <w:rFonts w:ascii="Verdana" w:hAnsi="Verdana"/>
          <w:sz w:val="16"/>
          <w:szCs w:val="16"/>
        </w:rPr>
        <w:footnoteRef/>
      </w:r>
      <w:r w:rsidRPr="007A2775">
        <w:rPr>
          <w:rFonts w:ascii="Verdana" w:hAnsi="Verdana"/>
          <w:sz w:val="16"/>
          <w:szCs w:val="16"/>
        </w:rPr>
        <w:t xml:space="preserve"> Kamerstukken II 2024/2025 21501-07 nr. 2087.</w:t>
      </w:r>
    </w:p>
  </w:footnote>
  <w:footnote w:id="4">
    <w:p w14:paraId="3C53A0FA" w14:textId="77777777" w:rsidR="00B20609" w:rsidRPr="007A2775" w:rsidRDefault="00B20609" w:rsidP="00B20609">
      <w:pPr>
        <w:pStyle w:val="Voetnoottekst"/>
        <w:rPr>
          <w:rFonts w:ascii="Verdana" w:hAnsi="Verdana"/>
          <w:sz w:val="16"/>
          <w:szCs w:val="16"/>
        </w:rPr>
      </w:pPr>
      <w:r w:rsidRPr="007A2775">
        <w:rPr>
          <w:rStyle w:val="Voetnootmarkering"/>
          <w:rFonts w:ascii="Verdana" w:hAnsi="Verdana"/>
          <w:sz w:val="16"/>
          <w:szCs w:val="16"/>
        </w:rPr>
        <w:footnoteRef/>
      </w:r>
      <w:r w:rsidRPr="007A2775">
        <w:rPr>
          <w:rFonts w:ascii="Verdana" w:hAnsi="Verdana"/>
          <w:sz w:val="16"/>
          <w:szCs w:val="16"/>
        </w:rPr>
        <w:t xml:space="preserve"> </w:t>
      </w:r>
      <w:hyperlink r:id="rId3" w:history="1">
        <w:r w:rsidRPr="007A2775">
          <w:rPr>
            <w:rStyle w:val="Hyperlink"/>
            <w:rFonts w:ascii="Verdana" w:hAnsi="Verdana"/>
            <w:sz w:val="16"/>
            <w:szCs w:val="16"/>
          </w:rPr>
          <w:t>https://single-market-economy.ec.europa.eu/single-market/strategy_en</w:t>
        </w:r>
      </w:hyperlink>
      <w:r w:rsidRPr="007A2775">
        <w:rPr>
          <w:rFonts w:ascii="Verdana" w:hAnsi="Verdana"/>
          <w:sz w:val="16"/>
          <w:szCs w:val="16"/>
        </w:rPr>
        <w:t xml:space="preserve"> </w:t>
      </w:r>
    </w:p>
  </w:footnote>
  <w:footnote w:id="5">
    <w:p w14:paraId="6F5370CE" w14:textId="61CB8BE2" w:rsidR="00B20609" w:rsidRPr="00A2307B" w:rsidRDefault="00B20609" w:rsidP="00B20609">
      <w:pPr>
        <w:pStyle w:val="Voetnoottekst"/>
        <w:rPr>
          <w:rFonts w:ascii="Verdana" w:hAnsi="Verdana"/>
          <w:sz w:val="16"/>
          <w:szCs w:val="16"/>
        </w:rPr>
      </w:pPr>
      <w:r w:rsidRPr="007A2775">
        <w:rPr>
          <w:rStyle w:val="Voetnootmarkering"/>
          <w:rFonts w:ascii="Verdana" w:hAnsi="Verdana"/>
          <w:sz w:val="16"/>
          <w:szCs w:val="16"/>
        </w:rPr>
        <w:footnoteRef/>
      </w:r>
      <w:r w:rsidRPr="00A2307B">
        <w:rPr>
          <w:rFonts w:ascii="Verdana" w:hAnsi="Verdana"/>
          <w:sz w:val="16"/>
          <w:szCs w:val="16"/>
        </w:rPr>
        <w:t xml:space="preserve"> </w:t>
      </w:r>
      <w:hyperlink r:id="rId4">
        <w:r w:rsidR="00A2307B" w:rsidRPr="00A2307B">
          <w:rPr>
            <w:rStyle w:val="Hyperlink"/>
            <w:rFonts w:ascii="Verdana" w:hAnsi="Verdana"/>
            <w:sz w:val="16"/>
            <w:szCs w:val="16"/>
          </w:rPr>
          <w:t>https://employment-social-affairs.ec.europa.eu/news/executive-vice-president-minzatu-kicks-exchanges-social-partners-quality-jobs-roadmap-2025-04-16_en</w:t>
        </w:r>
      </w:hyperlink>
    </w:p>
  </w:footnote>
  <w:footnote w:id="6">
    <w:p w14:paraId="6F1B94CE" w14:textId="54E8C50B" w:rsidR="00B20609" w:rsidRPr="00A2307B" w:rsidRDefault="00B20609" w:rsidP="00B20609">
      <w:pPr>
        <w:pStyle w:val="Voetnoottekst"/>
        <w:rPr>
          <w:rFonts w:ascii="Verdana" w:hAnsi="Verdana"/>
          <w:sz w:val="16"/>
          <w:szCs w:val="16"/>
        </w:rPr>
      </w:pPr>
      <w:r w:rsidRPr="007A2775">
        <w:rPr>
          <w:rStyle w:val="Voetnootmarkering"/>
          <w:rFonts w:ascii="Verdana" w:hAnsi="Verdana"/>
          <w:sz w:val="16"/>
          <w:szCs w:val="16"/>
        </w:rPr>
        <w:footnoteRef/>
      </w:r>
      <w:r w:rsidRPr="00A2307B">
        <w:rPr>
          <w:rFonts w:ascii="Verdana" w:hAnsi="Verdana"/>
          <w:sz w:val="16"/>
          <w:szCs w:val="16"/>
        </w:rPr>
        <w:t xml:space="preserve"> Zie ook </w:t>
      </w:r>
      <w:hyperlink r:id="rId5">
        <w:r w:rsidR="00A2307B" w:rsidRPr="00A2307B">
          <w:rPr>
            <w:rStyle w:val="Hyperlink"/>
            <w:rFonts w:ascii="Verdana" w:hAnsi="Verdana"/>
            <w:sz w:val="16"/>
            <w:szCs w:val="16"/>
          </w:rPr>
          <w:t>https://commission.europa.eu/topics/eu-competitiveness/union-skills_en</w:t>
        </w:r>
      </w:hyperlink>
      <w:r w:rsidRPr="00A2307B">
        <w:rPr>
          <w:rFonts w:ascii="Verdana" w:hAnsi="Verdana"/>
          <w:sz w:val="16"/>
          <w:szCs w:val="16"/>
        </w:rPr>
        <w:t xml:space="preserve">, </w:t>
      </w:r>
      <w:r w:rsidRPr="00A2307B">
        <w:rPr>
          <w:rFonts w:ascii="Verdana" w:eastAsia="Verdana" w:hAnsi="Verdana" w:cs="Verdana"/>
          <w:sz w:val="16"/>
          <w:szCs w:val="16"/>
        </w:rPr>
        <w:t>het BNC Fiche</w:t>
      </w:r>
      <w:r w:rsidRPr="00A2307B">
        <w:rPr>
          <w:rFonts w:ascii="Verdana" w:eastAsia="Verdana" w:hAnsi="Verdana" w:cs="Verdana"/>
          <w:i/>
          <w:iCs/>
          <w:sz w:val="16"/>
          <w:szCs w:val="16"/>
        </w:rPr>
        <w:t xml:space="preserve"> Union of Skills</w:t>
      </w:r>
      <w:r w:rsidRPr="00A2307B">
        <w:rPr>
          <w:rFonts w:ascii="Verdana" w:eastAsia="Verdana" w:hAnsi="Verdana" w:cs="Verdana"/>
          <w:sz w:val="16"/>
          <w:szCs w:val="16"/>
        </w:rPr>
        <w:t xml:space="preserve">: Kamerstukken II, 2024-2025, 22112, nr. 4023 en </w:t>
      </w:r>
      <w:hyperlink r:id="rId6">
        <w:r w:rsidR="00A2307B" w:rsidRPr="00A2307B">
          <w:rPr>
            <w:rStyle w:val="Hyperlink"/>
            <w:rFonts w:ascii="Verdana" w:hAnsi="Verdana"/>
            <w:sz w:val="16"/>
            <w:szCs w:val="16"/>
          </w:rPr>
          <w:t>https://education.ec.europa.eu/news/basic-skills-and-stem-action-plan-to-support-education-and-training</w:t>
        </w:r>
      </w:hyperlink>
    </w:p>
  </w:footnote>
  <w:footnote w:id="7">
    <w:p w14:paraId="10289A5A" w14:textId="6792ECF5" w:rsidR="00B20609" w:rsidRPr="00A2307B" w:rsidRDefault="00B20609" w:rsidP="00B20609">
      <w:pPr>
        <w:pStyle w:val="Voetnoottekst"/>
        <w:rPr>
          <w:rFonts w:ascii="Verdana" w:hAnsi="Verdana"/>
          <w:sz w:val="16"/>
          <w:szCs w:val="16"/>
        </w:rPr>
      </w:pPr>
      <w:r w:rsidRPr="007A2775">
        <w:rPr>
          <w:rStyle w:val="Voetnootmarkering"/>
          <w:rFonts w:ascii="Verdana" w:hAnsi="Verdana"/>
          <w:sz w:val="16"/>
          <w:szCs w:val="16"/>
        </w:rPr>
        <w:footnoteRef/>
      </w:r>
      <w:r w:rsidRPr="00A2307B">
        <w:rPr>
          <w:rFonts w:ascii="Verdana" w:hAnsi="Verdana"/>
          <w:sz w:val="16"/>
          <w:szCs w:val="16"/>
        </w:rPr>
        <w:t xml:space="preserve"> </w:t>
      </w:r>
      <w:hyperlink r:id="rId7">
        <w:r w:rsidR="00A2307B" w:rsidRPr="00A2307B">
          <w:rPr>
            <w:rStyle w:val="Hyperlink"/>
            <w:rFonts w:ascii="Verdana" w:hAnsi="Verdana"/>
            <w:sz w:val="16"/>
            <w:szCs w:val="16"/>
          </w:rPr>
          <w:t>https://housing.ec.europa.eu/index_en</w:t>
        </w:r>
      </w:hyperlink>
      <w:r w:rsidRPr="00A2307B">
        <w:rPr>
          <w:rFonts w:ascii="Verdana" w:hAnsi="Verdana"/>
          <w:sz w:val="16"/>
          <w:szCs w:val="16"/>
        </w:rPr>
        <w:br/>
      </w:r>
      <w:hyperlink r:id="rId8" w:history="1">
        <w:r w:rsidRPr="00A2307B">
          <w:rPr>
            <w:rStyle w:val="Hyperlink"/>
            <w:rFonts w:ascii="Verdana" w:hAnsi="Verdana"/>
            <w:sz w:val="16"/>
            <w:szCs w:val="16"/>
          </w:rPr>
          <w:t>https://single-market-economy.ec.europa.eu/sectors/proximity-and-social-economy/social-economy-eu/affordable-housing-initiative_en</w:t>
        </w:r>
      </w:hyperlink>
      <w:r w:rsidRPr="00A2307B">
        <w:rPr>
          <w:rFonts w:ascii="Verdana" w:hAnsi="Verdana"/>
          <w:sz w:val="16"/>
          <w:szCs w:val="16"/>
        </w:rPr>
        <w:t xml:space="preserve"> </w:t>
      </w:r>
    </w:p>
  </w:footnote>
  <w:footnote w:id="8">
    <w:p w14:paraId="00B61763" w14:textId="77777777" w:rsidR="00B20609" w:rsidRPr="007A2775" w:rsidRDefault="00B20609" w:rsidP="00B20609">
      <w:pPr>
        <w:spacing w:after="0"/>
        <w:rPr>
          <w:rFonts w:ascii="Verdana" w:hAnsi="Verdana"/>
          <w:sz w:val="16"/>
          <w:szCs w:val="16"/>
        </w:rPr>
      </w:pPr>
      <w:r w:rsidRPr="007A2775">
        <w:rPr>
          <w:rStyle w:val="Voetnootmarkering"/>
          <w:rFonts w:ascii="Verdana" w:hAnsi="Verdana"/>
          <w:sz w:val="16"/>
          <w:szCs w:val="16"/>
        </w:rPr>
        <w:footnoteRef/>
      </w:r>
      <w:r w:rsidRPr="007A2775">
        <w:rPr>
          <w:rFonts w:ascii="Verdana" w:hAnsi="Verdana"/>
          <w:sz w:val="16"/>
          <w:szCs w:val="16"/>
        </w:rPr>
        <w:t xml:space="preserve"> Zie de Nazending Geannoteerde agenda Eurogroep en Ecofinraad 20 en 21 januari 2025, Kamerstukken II 2024/2025 21501 nr. 07-2087.</w:t>
      </w:r>
    </w:p>
  </w:footnote>
  <w:footnote w:id="9">
    <w:p w14:paraId="64ABD647" w14:textId="77777777" w:rsidR="00B20609" w:rsidRPr="003C52B8" w:rsidRDefault="00B20609" w:rsidP="00B20609">
      <w:pPr>
        <w:pStyle w:val="Voetnoottekst"/>
        <w:rPr>
          <w:rFonts w:ascii="Verdana" w:hAnsi="Verdana"/>
          <w:sz w:val="14"/>
          <w:szCs w:val="14"/>
        </w:rPr>
      </w:pPr>
      <w:r w:rsidRPr="007A2775">
        <w:rPr>
          <w:rStyle w:val="Voetnootmarkering"/>
          <w:rFonts w:ascii="Verdana" w:hAnsi="Verdana"/>
          <w:sz w:val="16"/>
          <w:szCs w:val="16"/>
        </w:rPr>
        <w:footnoteRef/>
      </w:r>
      <w:r w:rsidRPr="007A2775">
        <w:rPr>
          <w:rFonts w:ascii="Verdana" w:hAnsi="Verdana"/>
          <w:sz w:val="16"/>
          <w:szCs w:val="16"/>
        </w:rPr>
        <w:t xml:space="preserve"> Zie de Aanbeveling van de Raad van 13 mei 2025 C/2025/2782, online te raadplegen via </w:t>
      </w:r>
      <w:hyperlink r:id="rId9" w:history="1">
        <w:r w:rsidRPr="007A2775">
          <w:rPr>
            <w:rStyle w:val="Hyperlink"/>
            <w:rFonts w:ascii="Verdana" w:hAnsi="Verdana"/>
            <w:sz w:val="16"/>
            <w:szCs w:val="16"/>
          </w:rPr>
          <w:t>EUR-Lex - 32025H02782 - EN - EUR-Lex</w:t>
        </w:r>
      </w:hyperlink>
      <w:r w:rsidRPr="007A2775">
        <w:rPr>
          <w:rFonts w:ascii="Verdana" w:hAnsi="Verdana"/>
          <w:sz w:val="16"/>
          <w:szCs w:val="16"/>
        </w:rPr>
        <w:t>.</w:t>
      </w:r>
    </w:p>
  </w:footnote>
  <w:footnote w:id="10">
    <w:p w14:paraId="416B2119" w14:textId="77777777" w:rsidR="003F1F87" w:rsidRPr="00160D6A" w:rsidRDefault="003F1F87" w:rsidP="003F1F87">
      <w:pPr>
        <w:pStyle w:val="Voetnoottekst"/>
        <w:rPr>
          <w:rFonts w:ascii="Verdana" w:hAnsi="Verdana"/>
          <w:sz w:val="12"/>
          <w:szCs w:val="12"/>
        </w:rPr>
      </w:pPr>
      <w:r w:rsidRPr="00160D6A">
        <w:rPr>
          <w:rStyle w:val="Voetnootmarkering"/>
          <w:rFonts w:ascii="Verdana" w:hAnsi="Verdana"/>
          <w:sz w:val="12"/>
          <w:szCs w:val="12"/>
        </w:rPr>
        <w:footnoteRef/>
      </w:r>
      <w:r w:rsidRPr="00160D6A">
        <w:rPr>
          <w:rFonts w:ascii="Verdana" w:hAnsi="Verdana"/>
          <w:sz w:val="12"/>
          <w:szCs w:val="12"/>
        </w:rPr>
        <w:t xml:space="preserve"> De Commissie heeft op 21 mei de beoordeling van de plannen van België en Bulgarije gepubliceerd. Naar verwachting neemt de Raad in juni aanbevelingen aan over het vaststellen van de uitgavenpaden en hervormingen en investeringen die ten grondslag liggen aan verlenging. Litouwen en Oostenrijk hebben hun plannen ingediend en zijn nog in afwachting van een beoordeling van de Commissie. Duitsland heeft nog geen plan ingediend in verband met recente verkiezingen.  </w:t>
      </w:r>
    </w:p>
  </w:footnote>
  <w:footnote w:id="11">
    <w:p w14:paraId="45E18716" w14:textId="77777777" w:rsidR="003F1F87" w:rsidRPr="00160D6A" w:rsidRDefault="003F1F87" w:rsidP="003F1F87">
      <w:pPr>
        <w:pStyle w:val="Voetnoottekst"/>
        <w:rPr>
          <w:rFonts w:ascii="Verdana" w:hAnsi="Verdana"/>
          <w:sz w:val="12"/>
          <w:szCs w:val="12"/>
        </w:rPr>
      </w:pPr>
      <w:r w:rsidRPr="00160D6A">
        <w:rPr>
          <w:rFonts w:ascii="Verdana" w:hAnsi="Verdana"/>
          <w:sz w:val="12"/>
          <w:szCs w:val="12"/>
        </w:rPr>
        <w:footnoteRef/>
      </w:r>
      <w:r w:rsidRPr="00160D6A">
        <w:rPr>
          <w:rFonts w:ascii="Verdana" w:hAnsi="Verdana"/>
          <w:sz w:val="12"/>
          <w:szCs w:val="12"/>
        </w:rPr>
        <w:t xml:space="preserve"> Voor afwijkingen van het uitgavenpad geldt een jaarlijkse drempelwaarde van 0,3% bbp en een cumulatieve drempelwaarde van 0,6% bbp</w:t>
      </w:r>
    </w:p>
  </w:footnote>
  <w:footnote w:id="12">
    <w:p w14:paraId="5534EC32" w14:textId="12AAD91A" w:rsidR="00B037E5" w:rsidRPr="00160D6A" w:rsidRDefault="00B037E5">
      <w:pPr>
        <w:pStyle w:val="Voetnoottekst"/>
        <w:rPr>
          <w:rFonts w:ascii="Verdana" w:hAnsi="Verdana"/>
          <w:sz w:val="12"/>
          <w:szCs w:val="12"/>
        </w:rPr>
      </w:pPr>
      <w:r w:rsidRPr="00160D6A">
        <w:rPr>
          <w:rStyle w:val="Voetnootmarkering"/>
          <w:rFonts w:ascii="Verdana" w:hAnsi="Verdana"/>
          <w:sz w:val="12"/>
          <w:szCs w:val="12"/>
        </w:rPr>
        <w:footnoteRef/>
      </w:r>
      <w:r w:rsidRPr="00160D6A">
        <w:rPr>
          <w:rFonts w:ascii="Verdana" w:hAnsi="Verdana"/>
          <w:sz w:val="12"/>
          <w:szCs w:val="12"/>
        </w:rPr>
        <w:t xml:space="preserve"> Drempelwaarden voor jaarlijkse en cumulatieve afwijkingen van het aanbevolen uitgavenpad zijn respectievelijk 0,3% bbp en 0,6% bbp. </w:t>
      </w:r>
    </w:p>
  </w:footnote>
  <w:footnote w:id="13">
    <w:p w14:paraId="1A6349B8" w14:textId="5D56EA29" w:rsidR="006C7493" w:rsidRPr="00160D6A" w:rsidRDefault="006C7493">
      <w:pPr>
        <w:pStyle w:val="Voetnoottekst"/>
        <w:rPr>
          <w:rFonts w:ascii="Verdana" w:hAnsi="Verdana"/>
          <w:sz w:val="12"/>
          <w:szCs w:val="12"/>
        </w:rPr>
      </w:pPr>
      <w:r w:rsidRPr="00160D6A">
        <w:rPr>
          <w:rStyle w:val="Voetnootmarkering"/>
          <w:rFonts w:ascii="Verdana" w:hAnsi="Verdana"/>
          <w:sz w:val="12"/>
          <w:szCs w:val="12"/>
        </w:rPr>
        <w:footnoteRef/>
      </w:r>
      <w:r w:rsidRPr="00160D6A">
        <w:rPr>
          <w:rFonts w:ascii="Verdana" w:hAnsi="Verdana"/>
          <w:sz w:val="12"/>
          <w:szCs w:val="12"/>
        </w:rPr>
        <w:t xml:space="preserve"> Zie Kamerstukken II 21 501-03 nr. 186</w:t>
      </w:r>
    </w:p>
  </w:footnote>
  <w:footnote w:id="14">
    <w:p w14:paraId="349F84C1" w14:textId="0F79BAB2" w:rsidR="005A5520" w:rsidRPr="00160D6A" w:rsidRDefault="005A5520" w:rsidP="005A5520">
      <w:pPr>
        <w:pStyle w:val="Voetnoottekst"/>
        <w:rPr>
          <w:rFonts w:ascii="Verdana" w:hAnsi="Verdana"/>
          <w:sz w:val="12"/>
          <w:szCs w:val="12"/>
        </w:rPr>
      </w:pPr>
      <w:r w:rsidRPr="00160D6A">
        <w:rPr>
          <w:rStyle w:val="Voetnootmarkering"/>
          <w:rFonts w:ascii="Verdana" w:hAnsi="Verdana"/>
          <w:sz w:val="12"/>
          <w:szCs w:val="12"/>
        </w:rPr>
        <w:footnoteRef/>
      </w:r>
      <w:r w:rsidRPr="00160D6A">
        <w:rPr>
          <w:rFonts w:ascii="Verdana" w:hAnsi="Verdana"/>
          <w:sz w:val="12"/>
          <w:szCs w:val="12"/>
        </w:rPr>
        <w:t xml:space="preserve"> </w:t>
      </w:r>
      <w:hyperlink r:id="rId10" w:history="1">
        <w:r w:rsidR="00160D6A" w:rsidRPr="00160D6A">
          <w:rPr>
            <w:rStyle w:val="Hyperlink"/>
            <w:rFonts w:ascii="Verdana" w:hAnsi="Verdana"/>
            <w:sz w:val="12"/>
            <w:szCs w:val="12"/>
          </w:rPr>
          <w:t>https://economy-finance.ec.europa.eu/document/download/902a2505-edb3-4c0a-8200-e0b1ec567c04_en?filename=COM_2025_615_1_EN_ACT_part1_v3.pdf</w:t>
        </w:r>
      </w:hyperlink>
    </w:p>
  </w:footnote>
  <w:footnote w:id="15">
    <w:p w14:paraId="3DCADFA2" w14:textId="6C8C6C9E" w:rsidR="005A5520" w:rsidRPr="00160D6A" w:rsidRDefault="005A5520" w:rsidP="005A5520">
      <w:pPr>
        <w:pStyle w:val="Voetnoottekst"/>
      </w:pPr>
      <w:r w:rsidRPr="00160D6A">
        <w:rPr>
          <w:rStyle w:val="Voetnootmarkering"/>
          <w:rFonts w:ascii="Verdana" w:hAnsi="Verdana"/>
          <w:sz w:val="12"/>
          <w:szCs w:val="12"/>
        </w:rPr>
        <w:footnoteRef/>
      </w:r>
      <w:r w:rsidRPr="00160D6A">
        <w:rPr>
          <w:rFonts w:ascii="Verdana" w:hAnsi="Verdana"/>
          <w:sz w:val="12"/>
          <w:szCs w:val="12"/>
        </w:rPr>
        <w:t xml:space="preserve"> </w:t>
      </w:r>
      <w:hyperlink r:id="rId11" w:history="1">
        <w:r w:rsidR="00160D6A" w:rsidRPr="00160D6A">
          <w:rPr>
            <w:rStyle w:val="Hyperlink"/>
            <w:rFonts w:ascii="Verdana" w:hAnsi="Verdana"/>
            <w:sz w:val="12"/>
            <w:szCs w:val="12"/>
          </w:rPr>
          <w:t>https://economy-finance.ec.europa.eu/document/download/aa932d47-8ad3-44be-9ba5-eca7bbf8f538_en?filename=RO_EDP_COM_2025_619_1_EN_ACT_part1_v1.pdf</w:t>
        </w:r>
      </w:hyperlink>
    </w:p>
  </w:footnote>
  <w:footnote w:id="16">
    <w:p w14:paraId="3C6AAC57" w14:textId="0E7787E7" w:rsidR="00C633D5" w:rsidRDefault="00C633D5" w:rsidP="00C633D5">
      <w:pPr>
        <w:pStyle w:val="Voetnoottekst"/>
      </w:pPr>
      <w:r>
        <w:rPr>
          <w:rStyle w:val="Voetnootmarkering"/>
        </w:rPr>
        <w:footnoteRef/>
      </w:r>
      <w:r>
        <w:t xml:space="preserve"> Op grond van verordening </w:t>
      </w:r>
      <w:r w:rsidR="009C5104" w:rsidRPr="009C5104">
        <w:t>No 1467/97</w:t>
      </w:r>
      <w:r w:rsidR="009C5104">
        <w:t xml:space="preserve"> (Artikel</w:t>
      </w:r>
      <w:r w:rsidR="009C5104" w:rsidRPr="009C5104">
        <w:t xml:space="preserve"> 2</w:t>
      </w:r>
      <w:r w:rsidR="009C5104">
        <w:t>.</w:t>
      </w:r>
      <w:r w:rsidR="009C5104" w:rsidRPr="009C5104">
        <w:t>3</w:t>
      </w:r>
      <w:r w:rsidR="009C5104">
        <w:t>)</w:t>
      </w:r>
      <w:r>
        <w:t xml:space="preserve"> kan de Commissie </w:t>
      </w:r>
      <w:r w:rsidRPr="00D1579D">
        <w:t xml:space="preserve">rekening houden met relevante factoren als een lidstaat een schuld heeft van onder 60% of, als dat niet het geval is, als het </w:t>
      </w:r>
      <w:r>
        <w:t>begrotings</w:t>
      </w:r>
      <w:r w:rsidRPr="00D1579D">
        <w:t>tekort dichtbij de 3% blijft en de overschrijding tijdelijk is.</w:t>
      </w:r>
    </w:p>
  </w:footnote>
  <w:footnote w:id="17">
    <w:p w14:paraId="5D26407E" w14:textId="3182B962" w:rsidR="005A6606" w:rsidRPr="00160D6A" w:rsidRDefault="005A6606">
      <w:pPr>
        <w:pStyle w:val="Voetnoottekst"/>
        <w:rPr>
          <w:sz w:val="16"/>
          <w:szCs w:val="16"/>
        </w:rPr>
      </w:pPr>
      <w:r w:rsidRPr="00160D6A">
        <w:rPr>
          <w:rStyle w:val="Voetnootmarkering"/>
          <w:sz w:val="16"/>
          <w:szCs w:val="16"/>
        </w:rPr>
        <w:footnoteRef/>
      </w:r>
      <w:r w:rsidRPr="00160D6A">
        <w:rPr>
          <w:sz w:val="16"/>
          <w:szCs w:val="16"/>
        </w:rPr>
        <w:t xml:space="preserve"> </w:t>
      </w:r>
      <w:hyperlink r:id="rId12" w:history="1">
        <w:r w:rsidR="00160D6A" w:rsidRPr="00160D6A">
          <w:rPr>
            <w:rStyle w:val="Hyperlink"/>
            <w:sz w:val="16"/>
            <w:szCs w:val="16"/>
          </w:rPr>
          <w:t>https://economy-finance.ec.europa.eu/economic-and-fiscal-governance/stability-and-growth-pact/preventive-arm/national-medium-term-fiscal-structural-plans_en</w:t>
        </w:r>
      </w:hyperlink>
    </w:p>
  </w:footnote>
  <w:footnote w:id="18">
    <w:p w14:paraId="672C0C34" w14:textId="77777777" w:rsidR="00EB6984" w:rsidRPr="00160D6A" w:rsidRDefault="00EB6984" w:rsidP="00EB6984">
      <w:pPr>
        <w:pStyle w:val="Voetnoottekst"/>
        <w:rPr>
          <w:sz w:val="16"/>
          <w:szCs w:val="16"/>
        </w:rPr>
      </w:pPr>
      <w:r w:rsidRPr="00160D6A">
        <w:rPr>
          <w:rStyle w:val="Voetnootmarkering"/>
          <w:sz w:val="16"/>
          <w:szCs w:val="16"/>
        </w:rPr>
        <w:footnoteRef/>
      </w:r>
      <w:r w:rsidRPr="00160D6A">
        <w:rPr>
          <w:sz w:val="16"/>
          <w:szCs w:val="16"/>
        </w:rPr>
        <w:t xml:space="preserve"> Kamerstuk 21501-20 nr. 2207</w:t>
      </w:r>
    </w:p>
  </w:footnote>
  <w:footnote w:id="19">
    <w:p w14:paraId="1FDD1497" w14:textId="77777777" w:rsidR="00EB6984" w:rsidRDefault="00EB6984" w:rsidP="00EB6984">
      <w:pPr>
        <w:pStyle w:val="Voetnoottekst"/>
      </w:pPr>
      <w:r w:rsidRPr="00160D6A">
        <w:rPr>
          <w:rStyle w:val="Voetnootmarkering"/>
          <w:sz w:val="16"/>
          <w:szCs w:val="16"/>
        </w:rPr>
        <w:footnoteRef/>
      </w:r>
      <w:r w:rsidRPr="00160D6A">
        <w:rPr>
          <w:sz w:val="16"/>
          <w:szCs w:val="16"/>
        </w:rPr>
        <w:t xml:space="preserve"> Kamerstuk 21501-20 nr. 2207</w:t>
      </w:r>
    </w:p>
  </w:footnote>
  <w:footnote w:id="20">
    <w:p w14:paraId="06ED8B41" w14:textId="7D18203D" w:rsidR="009E1973" w:rsidRDefault="009E1973">
      <w:pPr>
        <w:pStyle w:val="Voetnoottekst"/>
      </w:pPr>
      <w:r>
        <w:rPr>
          <w:rStyle w:val="Voetnootmarkering"/>
        </w:rPr>
        <w:footnoteRef/>
      </w:r>
      <w:r>
        <w:t xml:space="preserve"> </w:t>
      </w:r>
      <w:hyperlink r:id="rId13" w:history="1">
        <w:r w:rsidR="00F744D3">
          <w:rPr>
            <w:rStyle w:val="Hyperlink"/>
          </w:rPr>
          <w:t>https://www.ecb.europa.eu/press/other-publications/convergence/html/ecb.cr202506~8941e288b6.en.html</w:t>
        </w:r>
      </w:hyperlink>
    </w:p>
  </w:footnote>
  <w:footnote w:id="21">
    <w:p w14:paraId="002ADEAF" w14:textId="0E6F48B1" w:rsidR="00AC6342" w:rsidRDefault="00AC6342">
      <w:pPr>
        <w:pStyle w:val="Voetnoottekst"/>
      </w:pPr>
      <w:r>
        <w:rPr>
          <w:rStyle w:val="Voetnootmarkering"/>
        </w:rPr>
        <w:footnoteRef/>
      </w:r>
      <w:r>
        <w:t xml:space="preserve"> </w:t>
      </w:r>
      <w:hyperlink r:id="rId14" w:history="1">
        <w:r w:rsidR="00F744D3">
          <w:rPr>
            <w:rStyle w:val="Hyperlink"/>
          </w:rPr>
          <w:t>https://economy-finance.ec.europa.eu/publications/convergence-report-2025-bulgaria_en</w:t>
        </w:r>
      </w:hyperlink>
    </w:p>
  </w:footnote>
  <w:footnote w:id="22">
    <w:p w14:paraId="194ACE51" w14:textId="77777777" w:rsidR="005A6ADB" w:rsidRDefault="005A6ADB" w:rsidP="005A6ADB">
      <w:pPr>
        <w:pStyle w:val="Voetnoottekst"/>
      </w:pPr>
      <w:r>
        <w:rPr>
          <w:rStyle w:val="Voetnootmarkering"/>
        </w:rPr>
        <w:footnoteRef/>
      </w:r>
      <w:r>
        <w:t xml:space="preserve"> </w:t>
      </w:r>
      <w:r w:rsidRPr="005A6ADB">
        <w:t>Kamerstukken II, 21 501-07, nr. 2097</w:t>
      </w:r>
    </w:p>
  </w:footnote>
  <w:footnote w:id="23">
    <w:p w14:paraId="0B7E42CD" w14:textId="60CB2BFF" w:rsidR="00336C35" w:rsidRDefault="00336C35">
      <w:pPr>
        <w:pStyle w:val="Voetnoottekst"/>
      </w:pPr>
      <w:r>
        <w:rPr>
          <w:rStyle w:val="Voetnootmarkering"/>
        </w:rPr>
        <w:footnoteRef/>
      </w:r>
      <w:r>
        <w:t xml:space="preserve"> </w:t>
      </w:r>
      <w:r w:rsidR="00C36574" w:rsidRPr="005A6ADB">
        <w:t>Kamerstukken II, 21 501-07, nr. 20</w:t>
      </w:r>
      <w:r w:rsidR="00C36574">
        <w:t>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01F1"/>
    <w:multiLevelType w:val="hybridMultilevel"/>
    <w:tmpl w:val="CF12764E"/>
    <w:lvl w:ilvl="0" w:tplc="0C380FC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FD53392"/>
    <w:multiLevelType w:val="hybridMultilevel"/>
    <w:tmpl w:val="B9044268"/>
    <w:lvl w:ilvl="0" w:tplc="BA303160">
      <w:start w:val="2"/>
      <w:numFmt w:val="bullet"/>
      <w:lvlText w:val="-"/>
      <w:lvlJc w:val="left"/>
      <w:pPr>
        <w:ind w:left="720" w:hanging="360"/>
      </w:pPr>
      <w:rPr>
        <w:rFonts w:ascii="Verdana" w:eastAsia="Verdana"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BFA023"/>
    <w:multiLevelType w:val="hybridMultilevel"/>
    <w:tmpl w:val="22509A3C"/>
    <w:lvl w:ilvl="0" w:tplc="70E2FABA">
      <w:start w:val="1"/>
      <w:numFmt w:val="decimal"/>
      <w:lvlText w:val="%1."/>
      <w:lvlJc w:val="left"/>
      <w:pPr>
        <w:ind w:left="720" w:hanging="360"/>
      </w:pPr>
    </w:lvl>
    <w:lvl w:ilvl="1" w:tplc="707829BE">
      <w:start w:val="1"/>
      <w:numFmt w:val="lowerLetter"/>
      <w:lvlText w:val="%2."/>
      <w:lvlJc w:val="left"/>
      <w:pPr>
        <w:ind w:left="1440" w:hanging="360"/>
      </w:pPr>
    </w:lvl>
    <w:lvl w:ilvl="2" w:tplc="E5C67E38">
      <w:start w:val="1"/>
      <w:numFmt w:val="lowerRoman"/>
      <w:lvlText w:val="%3."/>
      <w:lvlJc w:val="right"/>
      <w:pPr>
        <w:ind w:left="2160" w:hanging="180"/>
      </w:pPr>
    </w:lvl>
    <w:lvl w:ilvl="3" w:tplc="BC769B66">
      <w:start w:val="1"/>
      <w:numFmt w:val="decimal"/>
      <w:lvlText w:val="%4."/>
      <w:lvlJc w:val="left"/>
      <w:pPr>
        <w:ind w:left="2880" w:hanging="360"/>
      </w:pPr>
    </w:lvl>
    <w:lvl w:ilvl="4" w:tplc="3D1238A8">
      <w:start w:val="1"/>
      <w:numFmt w:val="lowerLetter"/>
      <w:lvlText w:val="%5."/>
      <w:lvlJc w:val="left"/>
      <w:pPr>
        <w:ind w:left="3600" w:hanging="360"/>
      </w:pPr>
    </w:lvl>
    <w:lvl w:ilvl="5" w:tplc="E3C22F12">
      <w:start w:val="1"/>
      <w:numFmt w:val="lowerRoman"/>
      <w:lvlText w:val="%6."/>
      <w:lvlJc w:val="right"/>
      <w:pPr>
        <w:ind w:left="4320" w:hanging="180"/>
      </w:pPr>
    </w:lvl>
    <w:lvl w:ilvl="6" w:tplc="1C900EDC">
      <w:start w:val="1"/>
      <w:numFmt w:val="decimal"/>
      <w:lvlText w:val="%7."/>
      <w:lvlJc w:val="left"/>
      <w:pPr>
        <w:ind w:left="5040" w:hanging="360"/>
      </w:pPr>
    </w:lvl>
    <w:lvl w:ilvl="7" w:tplc="7B26FF1C">
      <w:start w:val="1"/>
      <w:numFmt w:val="lowerLetter"/>
      <w:lvlText w:val="%8."/>
      <w:lvlJc w:val="left"/>
      <w:pPr>
        <w:ind w:left="5760" w:hanging="360"/>
      </w:pPr>
    </w:lvl>
    <w:lvl w:ilvl="8" w:tplc="7658A43E">
      <w:start w:val="1"/>
      <w:numFmt w:val="lowerRoman"/>
      <w:lvlText w:val="%9."/>
      <w:lvlJc w:val="right"/>
      <w:pPr>
        <w:ind w:left="6480" w:hanging="180"/>
      </w:pPr>
    </w:lvl>
  </w:abstractNum>
  <w:abstractNum w:abstractNumId="3" w15:restartNumberingAfterBreak="0">
    <w:nsid w:val="529C725C"/>
    <w:multiLevelType w:val="hybridMultilevel"/>
    <w:tmpl w:val="CBE0F1F0"/>
    <w:lvl w:ilvl="0" w:tplc="D1123B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B15D82"/>
    <w:multiLevelType w:val="hybridMultilevel"/>
    <w:tmpl w:val="7A686D98"/>
    <w:lvl w:ilvl="0" w:tplc="744CE902">
      <w:start w:val="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9160260">
    <w:abstractNumId w:val="2"/>
  </w:num>
  <w:num w:numId="2" w16cid:durableId="373504325">
    <w:abstractNumId w:val="3"/>
  </w:num>
  <w:num w:numId="3" w16cid:durableId="584074285">
    <w:abstractNumId w:val="0"/>
  </w:num>
  <w:num w:numId="4" w16cid:durableId="329526345">
    <w:abstractNumId w:val="4"/>
  </w:num>
  <w:num w:numId="5" w16cid:durableId="182612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DE"/>
    <w:rsid w:val="00010C3E"/>
    <w:rsid w:val="00015082"/>
    <w:rsid w:val="00035966"/>
    <w:rsid w:val="0004243A"/>
    <w:rsid w:val="00051C61"/>
    <w:rsid w:val="00061661"/>
    <w:rsid w:val="00066B65"/>
    <w:rsid w:val="000D0B9D"/>
    <w:rsid w:val="000E15B0"/>
    <w:rsid w:val="000E3B77"/>
    <w:rsid w:val="000E4459"/>
    <w:rsid w:val="000F148E"/>
    <w:rsid w:val="00106016"/>
    <w:rsid w:val="00160D6A"/>
    <w:rsid w:val="00162E3C"/>
    <w:rsid w:val="001637A2"/>
    <w:rsid w:val="0016536D"/>
    <w:rsid w:val="0019016C"/>
    <w:rsid w:val="001B0F5A"/>
    <w:rsid w:val="001E106E"/>
    <w:rsid w:val="00200021"/>
    <w:rsid w:val="00201D0D"/>
    <w:rsid w:val="00206789"/>
    <w:rsid w:val="00220B58"/>
    <w:rsid w:val="0023719F"/>
    <w:rsid w:val="002444FC"/>
    <w:rsid w:val="00244D19"/>
    <w:rsid w:val="00247444"/>
    <w:rsid w:val="00263AB2"/>
    <w:rsid w:val="002667A8"/>
    <w:rsid w:val="002978C5"/>
    <w:rsid w:val="002B77D1"/>
    <w:rsid w:val="002C1838"/>
    <w:rsid w:val="002F61C4"/>
    <w:rsid w:val="002F6683"/>
    <w:rsid w:val="00336C35"/>
    <w:rsid w:val="00347FDD"/>
    <w:rsid w:val="0036201F"/>
    <w:rsid w:val="00376566"/>
    <w:rsid w:val="003A00E6"/>
    <w:rsid w:val="003D018E"/>
    <w:rsid w:val="003F1F87"/>
    <w:rsid w:val="00424063"/>
    <w:rsid w:val="004306BC"/>
    <w:rsid w:val="00462861"/>
    <w:rsid w:val="0046293F"/>
    <w:rsid w:val="0046548F"/>
    <w:rsid w:val="00482E79"/>
    <w:rsid w:val="00487699"/>
    <w:rsid w:val="00493A0F"/>
    <w:rsid w:val="004A4F6B"/>
    <w:rsid w:val="004B7EEE"/>
    <w:rsid w:val="004D3F35"/>
    <w:rsid w:val="004D62D0"/>
    <w:rsid w:val="004F4F72"/>
    <w:rsid w:val="005020AB"/>
    <w:rsid w:val="00503763"/>
    <w:rsid w:val="0051147C"/>
    <w:rsid w:val="00515873"/>
    <w:rsid w:val="005553C7"/>
    <w:rsid w:val="005553C9"/>
    <w:rsid w:val="005A5520"/>
    <w:rsid w:val="005A6606"/>
    <w:rsid w:val="005A6ADB"/>
    <w:rsid w:val="005B1E64"/>
    <w:rsid w:val="005B4358"/>
    <w:rsid w:val="00602BEA"/>
    <w:rsid w:val="00661E27"/>
    <w:rsid w:val="00672498"/>
    <w:rsid w:val="00690956"/>
    <w:rsid w:val="006C147D"/>
    <w:rsid w:val="006C5CCA"/>
    <w:rsid w:val="006C7493"/>
    <w:rsid w:val="006D2845"/>
    <w:rsid w:val="006D71E0"/>
    <w:rsid w:val="006F0C7D"/>
    <w:rsid w:val="006F53E9"/>
    <w:rsid w:val="00703773"/>
    <w:rsid w:val="00713A14"/>
    <w:rsid w:val="00714F1B"/>
    <w:rsid w:val="00722817"/>
    <w:rsid w:val="007464C6"/>
    <w:rsid w:val="007A270B"/>
    <w:rsid w:val="007A55C1"/>
    <w:rsid w:val="007B278D"/>
    <w:rsid w:val="007B435A"/>
    <w:rsid w:val="007C5DD2"/>
    <w:rsid w:val="007E5867"/>
    <w:rsid w:val="007F1D44"/>
    <w:rsid w:val="00806E8D"/>
    <w:rsid w:val="00833E6C"/>
    <w:rsid w:val="008C3F7A"/>
    <w:rsid w:val="008D051D"/>
    <w:rsid w:val="008D06E2"/>
    <w:rsid w:val="008E741C"/>
    <w:rsid w:val="00935566"/>
    <w:rsid w:val="00947AC0"/>
    <w:rsid w:val="0096787C"/>
    <w:rsid w:val="00990762"/>
    <w:rsid w:val="00990FBC"/>
    <w:rsid w:val="009B268B"/>
    <w:rsid w:val="009C0E35"/>
    <w:rsid w:val="009C5104"/>
    <w:rsid w:val="009C7A19"/>
    <w:rsid w:val="009D1B5E"/>
    <w:rsid w:val="009D3304"/>
    <w:rsid w:val="009D49A6"/>
    <w:rsid w:val="009E1973"/>
    <w:rsid w:val="00A023A6"/>
    <w:rsid w:val="00A2307B"/>
    <w:rsid w:val="00A76CA0"/>
    <w:rsid w:val="00AC6342"/>
    <w:rsid w:val="00AD131D"/>
    <w:rsid w:val="00B037E5"/>
    <w:rsid w:val="00B11F10"/>
    <w:rsid w:val="00B201A3"/>
    <w:rsid w:val="00B20609"/>
    <w:rsid w:val="00B211EE"/>
    <w:rsid w:val="00B37352"/>
    <w:rsid w:val="00B37F4B"/>
    <w:rsid w:val="00B62844"/>
    <w:rsid w:val="00B63AC0"/>
    <w:rsid w:val="00B76E4D"/>
    <w:rsid w:val="00B80178"/>
    <w:rsid w:val="00BA7A8A"/>
    <w:rsid w:val="00BE5476"/>
    <w:rsid w:val="00C32644"/>
    <w:rsid w:val="00C36574"/>
    <w:rsid w:val="00C633D5"/>
    <w:rsid w:val="00C64DFC"/>
    <w:rsid w:val="00C67316"/>
    <w:rsid w:val="00CB5A44"/>
    <w:rsid w:val="00CC1C70"/>
    <w:rsid w:val="00D00BB1"/>
    <w:rsid w:val="00D15228"/>
    <w:rsid w:val="00D16706"/>
    <w:rsid w:val="00D20245"/>
    <w:rsid w:val="00D202CE"/>
    <w:rsid w:val="00D256F9"/>
    <w:rsid w:val="00D51873"/>
    <w:rsid w:val="00D65964"/>
    <w:rsid w:val="00D82942"/>
    <w:rsid w:val="00DA1869"/>
    <w:rsid w:val="00DB53D4"/>
    <w:rsid w:val="00DC6AD9"/>
    <w:rsid w:val="00DD0B1C"/>
    <w:rsid w:val="00DD4C2D"/>
    <w:rsid w:val="00DD6473"/>
    <w:rsid w:val="00DF0C19"/>
    <w:rsid w:val="00DF4968"/>
    <w:rsid w:val="00DF63A4"/>
    <w:rsid w:val="00E13DEE"/>
    <w:rsid w:val="00E24D50"/>
    <w:rsid w:val="00E5464C"/>
    <w:rsid w:val="00E600A6"/>
    <w:rsid w:val="00E81BF4"/>
    <w:rsid w:val="00E85A29"/>
    <w:rsid w:val="00EB6984"/>
    <w:rsid w:val="00F169F2"/>
    <w:rsid w:val="00F420D7"/>
    <w:rsid w:val="00F5515B"/>
    <w:rsid w:val="00F744D3"/>
    <w:rsid w:val="00F80C5C"/>
    <w:rsid w:val="00F8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6A1F"/>
  <w15:chartTrackingRefBased/>
  <w15:docId w15:val="{4B80A9CC-0CD4-44FB-B2FC-7546FBD2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1DE"/>
    <w:rPr>
      <w:kern w:val="0"/>
    </w:rPr>
  </w:style>
  <w:style w:type="paragraph" w:styleId="Kop1">
    <w:name w:val="heading 1"/>
    <w:basedOn w:val="Standaard"/>
    <w:next w:val="Standaard"/>
    <w:link w:val="Kop1Char"/>
    <w:uiPriority w:val="9"/>
    <w:qFormat/>
    <w:rsid w:val="00F871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871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71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71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71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71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71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71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71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1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871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71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71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71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71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71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71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71DE"/>
    <w:rPr>
      <w:rFonts w:eastAsiaTheme="majorEastAsia" w:cstheme="majorBidi"/>
      <w:color w:val="272727" w:themeColor="text1" w:themeTint="D8"/>
    </w:rPr>
  </w:style>
  <w:style w:type="paragraph" w:styleId="Titel">
    <w:name w:val="Title"/>
    <w:basedOn w:val="Standaard"/>
    <w:next w:val="Standaard"/>
    <w:link w:val="TitelChar"/>
    <w:uiPriority w:val="10"/>
    <w:qFormat/>
    <w:rsid w:val="00F87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71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71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71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71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71DE"/>
    <w:rPr>
      <w:i/>
      <w:iCs/>
      <w:color w:val="404040" w:themeColor="text1" w:themeTint="BF"/>
    </w:rPr>
  </w:style>
  <w:style w:type="paragraph" w:styleId="Lijstalinea">
    <w:name w:val="List Paragraph"/>
    <w:basedOn w:val="Standaard"/>
    <w:uiPriority w:val="34"/>
    <w:qFormat/>
    <w:rsid w:val="00F871DE"/>
    <w:pPr>
      <w:ind w:left="720"/>
      <w:contextualSpacing/>
    </w:pPr>
  </w:style>
  <w:style w:type="character" w:styleId="Intensievebenadrukking">
    <w:name w:val="Intense Emphasis"/>
    <w:basedOn w:val="Standaardalinea-lettertype"/>
    <w:uiPriority w:val="21"/>
    <w:qFormat/>
    <w:rsid w:val="00F871DE"/>
    <w:rPr>
      <w:i/>
      <w:iCs/>
      <w:color w:val="2F5496" w:themeColor="accent1" w:themeShade="BF"/>
    </w:rPr>
  </w:style>
  <w:style w:type="paragraph" w:styleId="Duidelijkcitaat">
    <w:name w:val="Intense Quote"/>
    <w:basedOn w:val="Standaard"/>
    <w:next w:val="Standaard"/>
    <w:link w:val="DuidelijkcitaatChar"/>
    <w:uiPriority w:val="30"/>
    <w:qFormat/>
    <w:rsid w:val="00F87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71DE"/>
    <w:rPr>
      <w:i/>
      <w:iCs/>
      <w:color w:val="2F5496" w:themeColor="accent1" w:themeShade="BF"/>
    </w:rPr>
  </w:style>
  <w:style w:type="character" w:styleId="Intensieveverwijzing">
    <w:name w:val="Intense Reference"/>
    <w:basedOn w:val="Standaardalinea-lettertype"/>
    <w:uiPriority w:val="32"/>
    <w:qFormat/>
    <w:rsid w:val="00F871DE"/>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871DE"/>
    <w:rPr>
      <w:sz w:val="16"/>
      <w:szCs w:val="16"/>
    </w:rPr>
  </w:style>
  <w:style w:type="paragraph" w:styleId="Tekstopmerking">
    <w:name w:val="annotation text"/>
    <w:basedOn w:val="Standaard"/>
    <w:link w:val="TekstopmerkingChar"/>
    <w:uiPriority w:val="99"/>
    <w:unhideWhenUsed/>
    <w:rsid w:val="00F871DE"/>
    <w:pPr>
      <w:spacing w:line="240" w:lineRule="auto"/>
    </w:pPr>
    <w:rPr>
      <w:sz w:val="20"/>
      <w:szCs w:val="20"/>
    </w:rPr>
  </w:style>
  <w:style w:type="character" w:customStyle="1" w:styleId="TekstopmerkingChar">
    <w:name w:val="Tekst opmerking Char"/>
    <w:basedOn w:val="Standaardalinea-lettertype"/>
    <w:link w:val="Tekstopmerking"/>
    <w:uiPriority w:val="99"/>
    <w:rsid w:val="00F871DE"/>
    <w:rPr>
      <w:kern w:val="0"/>
      <w:sz w:val="20"/>
      <w:szCs w:val="20"/>
    </w:rPr>
  </w:style>
  <w:style w:type="table" w:styleId="Tabelraster">
    <w:name w:val="Table Grid"/>
    <w:basedOn w:val="Standaardtabel"/>
    <w:uiPriority w:val="39"/>
    <w:rsid w:val="00F871D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uiPriority w:val="99"/>
    <w:unhideWhenUsed/>
    <w:rsid w:val="00F871DE"/>
    <w:pPr>
      <w:spacing w:after="0" w:line="240" w:lineRule="auto"/>
    </w:pPr>
    <w:rPr>
      <w:sz w:val="20"/>
      <w:szCs w:val="20"/>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uiPriority w:val="99"/>
    <w:rsid w:val="00F871DE"/>
    <w:rPr>
      <w:kern w:val="0"/>
      <w:sz w:val="20"/>
      <w:szCs w:val="20"/>
    </w:rPr>
  </w:style>
  <w:style w:type="character" w:styleId="Voetnootmarkering">
    <w:name w:val="footnote reference"/>
    <w:aliases w:val="Footnote Reference Number,Footnote Reference_LVL6,C26 Footnote Number,Footnote Reference_LVL61,Footnote Reference_LVL62,Footnote Reference_LVL63,Footnote Reference_LVL64,Footnote Reference_LVL65,Footnote symbol,Footnote Reference1"/>
    <w:basedOn w:val="Standaardalinea-lettertype"/>
    <w:uiPriority w:val="99"/>
    <w:semiHidden/>
    <w:unhideWhenUsed/>
    <w:rsid w:val="00F871DE"/>
    <w:rPr>
      <w:vertAlign w:val="superscript"/>
    </w:rPr>
  </w:style>
  <w:style w:type="paragraph" w:customStyle="1" w:styleId="paragraph">
    <w:name w:val="paragraph"/>
    <w:basedOn w:val="Standaard"/>
    <w:rsid w:val="00F871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871DE"/>
  </w:style>
  <w:style w:type="paragraph" w:styleId="Koptekst">
    <w:name w:val="header"/>
    <w:basedOn w:val="Standaard"/>
    <w:link w:val="KoptekstChar"/>
    <w:uiPriority w:val="99"/>
    <w:unhideWhenUsed/>
    <w:rsid w:val="00F871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71DE"/>
    <w:rPr>
      <w:kern w:val="0"/>
    </w:rPr>
  </w:style>
  <w:style w:type="paragraph" w:styleId="Voettekst">
    <w:name w:val="footer"/>
    <w:basedOn w:val="Standaard"/>
    <w:link w:val="VoettekstChar"/>
    <w:uiPriority w:val="99"/>
    <w:unhideWhenUsed/>
    <w:rsid w:val="00F871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71DE"/>
    <w:rPr>
      <w:kern w:val="0"/>
    </w:rPr>
  </w:style>
  <w:style w:type="paragraph" w:styleId="Revisie">
    <w:name w:val="Revision"/>
    <w:hidden/>
    <w:uiPriority w:val="99"/>
    <w:semiHidden/>
    <w:rsid w:val="00DD0B1C"/>
    <w:pPr>
      <w:spacing w:after="0" w:line="240" w:lineRule="auto"/>
    </w:pPr>
    <w:rPr>
      <w:kern w:val="0"/>
    </w:rPr>
  </w:style>
  <w:style w:type="paragraph" w:styleId="Onderwerpvanopmerking">
    <w:name w:val="annotation subject"/>
    <w:basedOn w:val="Tekstopmerking"/>
    <w:next w:val="Tekstopmerking"/>
    <w:link w:val="OnderwerpvanopmerkingChar"/>
    <w:uiPriority w:val="99"/>
    <w:semiHidden/>
    <w:unhideWhenUsed/>
    <w:rsid w:val="00AD131D"/>
    <w:rPr>
      <w:b/>
      <w:bCs/>
    </w:rPr>
  </w:style>
  <w:style w:type="character" w:customStyle="1" w:styleId="OnderwerpvanopmerkingChar">
    <w:name w:val="Onderwerp van opmerking Char"/>
    <w:basedOn w:val="TekstopmerkingChar"/>
    <w:link w:val="Onderwerpvanopmerking"/>
    <w:uiPriority w:val="99"/>
    <w:semiHidden/>
    <w:rsid w:val="00AD131D"/>
    <w:rPr>
      <w:b/>
      <w:bCs/>
      <w:kern w:val="0"/>
      <w:sz w:val="20"/>
      <w:szCs w:val="20"/>
    </w:rPr>
  </w:style>
  <w:style w:type="character" w:styleId="Hyperlink">
    <w:name w:val="Hyperlink"/>
    <w:basedOn w:val="Standaardalinea-lettertype"/>
    <w:uiPriority w:val="99"/>
    <w:unhideWhenUsed/>
    <w:rsid w:val="006F53E9"/>
    <w:rPr>
      <w:color w:val="0563C1" w:themeColor="hyperlink"/>
      <w:u w:val="single"/>
    </w:rPr>
  </w:style>
  <w:style w:type="character" w:styleId="Onopgelostemelding">
    <w:name w:val="Unresolved Mention"/>
    <w:basedOn w:val="Standaardalinea-lettertype"/>
    <w:uiPriority w:val="99"/>
    <w:semiHidden/>
    <w:unhideWhenUsed/>
    <w:rsid w:val="00B20609"/>
    <w:rPr>
      <w:color w:val="605E5C"/>
      <w:shd w:val="clear" w:color="auto" w:fill="E1DFDD"/>
    </w:rPr>
  </w:style>
  <w:style w:type="character" w:styleId="GevolgdeHyperlink">
    <w:name w:val="FollowedHyperlink"/>
    <w:basedOn w:val="Standaardalinea-lettertype"/>
    <w:uiPriority w:val="99"/>
    <w:semiHidden/>
    <w:unhideWhenUsed/>
    <w:rsid w:val="005A55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40333">
      <w:bodyDiv w:val="1"/>
      <w:marLeft w:val="0"/>
      <w:marRight w:val="0"/>
      <w:marTop w:val="0"/>
      <w:marBottom w:val="0"/>
      <w:divBdr>
        <w:top w:val="none" w:sz="0" w:space="0" w:color="auto"/>
        <w:left w:val="none" w:sz="0" w:space="0" w:color="auto"/>
        <w:bottom w:val="none" w:sz="0" w:space="0" w:color="auto"/>
        <w:right w:val="none" w:sz="0" w:space="0" w:color="auto"/>
      </w:divBdr>
    </w:div>
    <w:div w:id="662777142">
      <w:bodyDiv w:val="1"/>
      <w:marLeft w:val="0"/>
      <w:marRight w:val="0"/>
      <w:marTop w:val="0"/>
      <w:marBottom w:val="0"/>
      <w:divBdr>
        <w:top w:val="none" w:sz="0" w:space="0" w:color="auto"/>
        <w:left w:val="none" w:sz="0" w:space="0" w:color="auto"/>
        <w:bottom w:val="none" w:sz="0" w:space="0" w:color="auto"/>
        <w:right w:val="none" w:sz="0" w:space="0" w:color="auto"/>
      </w:divBdr>
    </w:div>
    <w:div w:id="961422988">
      <w:bodyDiv w:val="1"/>
      <w:marLeft w:val="0"/>
      <w:marRight w:val="0"/>
      <w:marTop w:val="0"/>
      <w:marBottom w:val="0"/>
      <w:divBdr>
        <w:top w:val="none" w:sz="0" w:space="0" w:color="auto"/>
        <w:left w:val="none" w:sz="0" w:space="0" w:color="auto"/>
        <w:bottom w:val="none" w:sz="0" w:space="0" w:color="auto"/>
        <w:right w:val="none" w:sz="0" w:space="0" w:color="auto"/>
      </w:divBdr>
    </w:div>
    <w:div w:id="1487240813">
      <w:bodyDiv w:val="1"/>
      <w:marLeft w:val="0"/>
      <w:marRight w:val="0"/>
      <w:marTop w:val="0"/>
      <w:marBottom w:val="0"/>
      <w:divBdr>
        <w:top w:val="none" w:sz="0" w:space="0" w:color="auto"/>
        <w:left w:val="none" w:sz="0" w:space="0" w:color="auto"/>
        <w:bottom w:val="none" w:sz="0" w:space="0" w:color="auto"/>
        <w:right w:val="none" w:sz="0" w:space="0" w:color="auto"/>
      </w:divBdr>
    </w:div>
    <w:div w:id="1761220105">
      <w:bodyDiv w:val="1"/>
      <w:marLeft w:val="0"/>
      <w:marRight w:val="0"/>
      <w:marTop w:val="0"/>
      <w:marBottom w:val="0"/>
      <w:divBdr>
        <w:top w:val="none" w:sz="0" w:space="0" w:color="auto"/>
        <w:left w:val="none" w:sz="0" w:space="0" w:color="auto"/>
        <w:bottom w:val="none" w:sz="0" w:space="0" w:color="auto"/>
        <w:right w:val="none" w:sz="0" w:space="0" w:color="auto"/>
      </w:divBdr>
    </w:div>
    <w:div w:id="1788112482">
      <w:bodyDiv w:val="1"/>
      <w:marLeft w:val="0"/>
      <w:marRight w:val="0"/>
      <w:marTop w:val="0"/>
      <w:marBottom w:val="0"/>
      <w:divBdr>
        <w:top w:val="none" w:sz="0" w:space="0" w:color="auto"/>
        <w:left w:val="none" w:sz="0" w:space="0" w:color="auto"/>
        <w:bottom w:val="none" w:sz="0" w:space="0" w:color="auto"/>
        <w:right w:val="none" w:sz="0" w:space="0" w:color="auto"/>
      </w:divBdr>
    </w:div>
    <w:div w:id="19530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y-finance.ec.europa.eu/economic-and-fiscal-governance/macroeconomic-imbalance-procedure/depth-reviews_en" TargetMode="External"/><Relationship Id="rId3" Type="http://schemas.openxmlformats.org/officeDocument/2006/relationships/settings" Target="settings.xml"/><Relationship Id="rId7" Type="http://schemas.openxmlformats.org/officeDocument/2006/relationships/hyperlink" Target="https://commission.europa.eu/publications/2025-european-semester-spring-package-communication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ommission.europa.eu/publications/2025-european-semester-country-specific-recommendations-commission-recommendations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ingle-market-economy.ec.europa.eu/sectors/proximity-and-social-economy/social-economy-eu/affordable-housing-initiative_en" TargetMode="External"/><Relationship Id="rId13" Type="http://schemas.openxmlformats.org/officeDocument/2006/relationships/hyperlink" Target="https://www.ecb.europa.eu/press/other-publications/convergence/html/ecb.cr202506~8941e288b6.en.html" TargetMode="External"/><Relationship Id="rId3" Type="http://schemas.openxmlformats.org/officeDocument/2006/relationships/hyperlink" Target="https://single-market-economy.ec.europa.eu/single-market/strategy_en" TargetMode="External"/><Relationship Id="rId7" Type="http://schemas.openxmlformats.org/officeDocument/2006/relationships/hyperlink" Target="https://housing.ec.europa.eu/index_en" TargetMode="External"/><Relationship Id="rId12" Type="http://schemas.openxmlformats.org/officeDocument/2006/relationships/hyperlink" Target="https://economy-finance.ec.europa.eu/economic-and-fiscal-governance/stability-and-growth-pact/preventive-arm/national-medium-term-fiscal-structural-plans_en" TargetMode="External"/><Relationship Id="rId2" Type="http://schemas.openxmlformats.org/officeDocument/2006/relationships/hyperlink" Target="https://economy-finance.ec.europa.eu/publications/convergence-report-2025-bulgaria_en" TargetMode="External"/><Relationship Id="rId1" Type="http://schemas.openxmlformats.org/officeDocument/2006/relationships/hyperlink" Target="https://www.ecb.europa.eu/press/other-publications/convergence/html/ecb.cr202506~8941e288b6.en.html" TargetMode="External"/><Relationship Id="rId6" Type="http://schemas.openxmlformats.org/officeDocument/2006/relationships/hyperlink" Target="https://education.ec.europa.eu/news/basic-skills-and-stem-action-plan-to-support-education-and-training" TargetMode="External"/><Relationship Id="rId11" Type="http://schemas.openxmlformats.org/officeDocument/2006/relationships/hyperlink" Target="https://economy-finance.ec.europa.eu/document/download/aa932d47-8ad3-44be-9ba5-eca7bbf8f538_en?filename=RO_EDP_COM_2025_619_1_EN_ACT_part1_v1.pdf" TargetMode="External"/><Relationship Id="rId5" Type="http://schemas.openxmlformats.org/officeDocument/2006/relationships/hyperlink" Target="https://commission.europa.eu/topics/eu-competitiveness/union-skills_en" TargetMode="External"/><Relationship Id="rId10" Type="http://schemas.openxmlformats.org/officeDocument/2006/relationships/hyperlink" Target="https://economy-finance.ec.europa.eu/document/download/902a2505-edb3-4c0a-8200-e0b1ec567c04_en?filename=COM_2025_615_1_EN_ACT_part1_v3.pdf" TargetMode="External"/><Relationship Id="rId4" Type="http://schemas.openxmlformats.org/officeDocument/2006/relationships/hyperlink" Target="https://employment-social-affairs.ec.europa.eu/news/executive-vice-president-minzatu-kicks-exchanges-social-partners-quality-jobs-roadmap-2025-04-16_en" TargetMode="External"/><Relationship Id="rId9" Type="http://schemas.openxmlformats.org/officeDocument/2006/relationships/hyperlink" Target="https://eur-lex.europa.eu/eli/C/2025/2782/oj/eng" TargetMode="External"/><Relationship Id="rId14" Type="http://schemas.openxmlformats.org/officeDocument/2006/relationships/hyperlink" Target="https://economy-finance.ec.europa.eu/publications/convergence-report-2025-bulgaria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7285</ap:Words>
  <ap:Characters>40070</ap:Characters>
  <ap:DocSecurity>0</ap:DocSecurity>
  <ap:Lines>333</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2025-06-10T11:23:00.0000000Z</dcterms:created>
  <dcterms:modified xsi:type="dcterms:W3CDTF">2025-06-10T11:23:00.0000000Z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2025-05-27T07:34:52Z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67d67818-bc13-4448-9760-f033d0ee92ef</vt:lpwstr>
  </property>
  <property fmtid="{D5CDD505-2E9C-101B-9397-08002B2CF9AE}" pid="8" name="MSIP_Label_6800fede-0e59-47ad-af95-4e63bbdb932d_ContentBits">
    <vt:lpwstr>0</vt:lpwstr>
  </property>
</Properties>
</file>